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4A7024">
      <w:pPr>
        <w:spacing w:line="360" w:lineRule="auto"/>
        <w:jc w:val="center"/>
        <w:outlineLvl w:val="0"/>
        <w:rPr>
          <w:b/>
          <w:sz w:val="36"/>
          <w:szCs w:val="36"/>
          <w:highlight w:val="none"/>
        </w:rPr>
      </w:pPr>
      <w:bookmarkStart w:id="0" w:name="_Toc99301424"/>
      <w:r>
        <w:rPr>
          <w:b/>
          <w:sz w:val="36"/>
          <w:szCs w:val="36"/>
          <w:highlight w:val="none"/>
        </w:rPr>
        <w:t>第五章   采购需求</w:t>
      </w:r>
      <w:bookmarkEnd w:id="0"/>
    </w:p>
    <w:p w14:paraId="103D9818">
      <w:pPr>
        <w:rPr>
          <w:rFonts w:hint="default" w:ascii="宋体" w:hAnsi="宋体"/>
          <w:lang w:val="en-US"/>
        </w:rPr>
      </w:pPr>
      <w:r>
        <w:rPr>
          <w:rFonts w:hint="eastAsia" w:ascii="宋体" w:hAnsi="宋体"/>
        </w:rPr>
        <w:t>一、采购标的</w:t>
      </w:r>
      <w:r>
        <w:rPr>
          <w:rFonts w:hint="eastAsia"/>
          <w:lang w:eastAsia="zh-CN"/>
        </w:rPr>
        <w:t>（</w:t>
      </w:r>
      <w:r>
        <w:rPr>
          <w:rFonts w:hint="eastAsia"/>
          <w:lang w:val="en-US" w:eastAsia="zh-CN"/>
        </w:rPr>
        <w:t>不接受进口产品）</w:t>
      </w:r>
    </w:p>
    <w:tbl>
      <w:tblPr>
        <w:tblStyle w:val="4"/>
        <w:tblW w:w="8647"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1313"/>
        <w:gridCol w:w="1248"/>
        <w:gridCol w:w="3685"/>
        <w:gridCol w:w="709"/>
        <w:gridCol w:w="850"/>
      </w:tblGrid>
      <w:tr w14:paraId="20B5A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tcPr>
          <w:p w14:paraId="018AC955">
            <w:pPr>
              <w:spacing w:line="360" w:lineRule="auto"/>
              <w:contextualSpacing/>
              <w:jc w:val="center"/>
              <w:rPr>
                <w:rFonts w:hint="eastAsia" w:ascii="宋体" w:hAnsi="宋体"/>
                <w:bCs/>
                <w:kern w:val="0"/>
                <w:sz w:val="24"/>
              </w:rPr>
            </w:pPr>
            <w:r>
              <w:rPr>
                <w:rFonts w:hint="eastAsia" w:ascii="宋体" w:hAnsi="宋体"/>
                <w:bCs/>
                <w:kern w:val="0"/>
                <w:sz w:val="24"/>
              </w:rPr>
              <w:t>序号</w:t>
            </w:r>
          </w:p>
        </w:tc>
        <w:tc>
          <w:tcPr>
            <w:tcW w:w="1313" w:type="dxa"/>
          </w:tcPr>
          <w:p w14:paraId="58A39A80">
            <w:pPr>
              <w:spacing w:line="360" w:lineRule="auto"/>
              <w:contextualSpacing/>
              <w:jc w:val="center"/>
              <w:rPr>
                <w:rFonts w:hint="eastAsia" w:ascii="宋体" w:hAnsi="宋体"/>
                <w:bCs/>
                <w:kern w:val="0"/>
                <w:sz w:val="24"/>
              </w:rPr>
            </w:pPr>
            <w:r>
              <w:rPr>
                <w:rFonts w:hint="eastAsia" w:ascii="宋体" w:hAnsi="宋体"/>
                <w:bCs/>
                <w:kern w:val="0"/>
                <w:sz w:val="24"/>
              </w:rPr>
              <w:t>产品名称</w:t>
            </w:r>
          </w:p>
        </w:tc>
        <w:tc>
          <w:tcPr>
            <w:tcW w:w="1248" w:type="dxa"/>
          </w:tcPr>
          <w:p w14:paraId="2FE0ACDD">
            <w:pPr>
              <w:spacing w:line="360" w:lineRule="auto"/>
              <w:contextualSpacing/>
              <w:jc w:val="center"/>
              <w:rPr>
                <w:rFonts w:hint="eastAsia" w:ascii="宋体" w:hAnsi="宋体"/>
                <w:bCs/>
                <w:kern w:val="0"/>
                <w:sz w:val="24"/>
              </w:rPr>
            </w:pPr>
            <w:r>
              <w:rPr>
                <w:rFonts w:hint="eastAsia" w:ascii="宋体" w:hAnsi="宋体"/>
                <w:bCs/>
                <w:kern w:val="0"/>
                <w:sz w:val="24"/>
              </w:rPr>
              <w:t>规格</w:t>
            </w:r>
          </w:p>
        </w:tc>
        <w:tc>
          <w:tcPr>
            <w:tcW w:w="3685" w:type="dxa"/>
          </w:tcPr>
          <w:p w14:paraId="4822755B">
            <w:pPr>
              <w:spacing w:line="360" w:lineRule="auto"/>
              <w:contextualSpacing/>
              <w:jc w:val="center"/>
              <w:rPr>
                <w:rFonts w:hint="eastAsia" w:ascii="宋体" w:hAnsi="宋体"/>
                <w:bCs/>
                <w:kern w:val="0"/>
                <w:sz w:val="24"/>
              </w:rPr>
            </w:pPr>
            <w:r>
              <w:rPr>
                <w:rFonts w:hint="eastAsia" w:ascii="宋体" w:hAnsi="宋体"/>
                <w:bCs/>
                <w:kern w:val="0"/>
                <w:sz w:val="24"/>
              </w:rPr>
              <w:t>备注</w:t>
            </w:r>
          </w:p>
        </w:tc>
        <w:tc>
          <w:tcPr>
            <w:tcW w:w="709" w:type="dxa"/>
          </w:tcPr>
          <w:p w14:paraId="2CF7ABD6">
            <w:pPr>
              <w:spacing w:line="360" w:lineRule="auto"/>
              <w:contextualSpacing/>
              <w:jc w:val="center"/>
              <w:rPr>
                <w:rFonts w:hint="eastAsia" w:ascii="宋体" w:hAnsi="宋体"/>
                <w:bCs/>
                <w:kern w:val="0"/>
                <w:sz w:val="24"/>
              </w:rPr>
            </w:pPr>
            <w:r>
              <w:rPr>
                <w:rFonts w:hint="eastAsia" w:ascii="宋体" w:hAnsi="宋体"/>
                <w:bCs/>
                <w:kern w:val="0"/>
                <w:sz w:val="24"/>
              </w:rPr>
              <w:t>单位</w:t>
            </w:r>
          </w:p>
        </w:tc>
        <w:tc>
          <w:tcPr>
            <w:tcW w:w="850" w:type="dxa"/>
          </w:tcPr>
          <w:p w14:paraId="43C06750">
            <w:pPr>
              <w:spacing w:line="360" w:lineRule="auto"/>
              <w:contextualSpacing/>
              <w:jc w:val="center"/>
              <w:rPr>
                <w:rFonts w:hint="eastAsia" w:ascii="宋体" w:hAnsi="宋体"/>
                <w:bCs/>
                <w:kern w:val="0"/>
                <w:sz w:val="24"/>
              </w:rPr>
            </w:pPr>
            <w:r>
              <w:rPr>
                <w:rFonts w:hint="eastAsia" w:ascii="宋体" w:hAnsi="宋体"/>
                <w:bCs/>
                <w:kern w:val="0"/>
                <w:sz w:val="24"/>
              </w:rPr>
              <w:t>数量</w:t>
            </w:r>
          </w:p>
        </w:tc>
      </w:tr>
      <w:tr w14:paraId="22AD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42" w:type="dxa"/>
            <w:vAlign w:val="center"/>
          </w:tcPr>
          <w:p w14:paraId="7F5D4E36">
            <w:pPr>
              <w:widowControl/>
              <w:jc w:val="center"/>
              <w:textAlignment w:val="center"/>
              <w:rPr>
                <w:rFonts w:hint="eastAsia" w:ascii="宋体" w:hAnsi="宋体"/>
                <w:bCs/>
                <w:kern w:val="0"/>
                <w:sz w:val="24"/>
              </w:rPr>
            </w:pPr>
            <w:r>
              <w:rPr>
                <w:rFonts w:hint="eastAsia" w:ascii="宋体" w:hAnsi="宋体" w:cs="宋体"/>
                <w:kern w:val="0"/>
                <w:sz w:val="24"/>
                <w:lang w:bidi="ar"/>
              </w:rPr>
              <w:t>1</w:t>
            </w:r>
          </w:p>
        </w:tc>
        <w:tc>
          <w:tcPr>
            <w:tcW w:w="1313" w:type="dxa"/>
            <w:vAlign w:val="center"/>
          </w:tcPr>
          <w:p w14:paraId="766FAA46">
            <w:pPr>
              <w:widowControl/>
              <w:jc w:val="center"/>
              <w:textAlignment w:val="center"/>
              <w:rPr>
                <w:rFonts w:hint="eastAsia" w:ascii="宋体" w:hAnsi="宋体" w:eastAsia="宋体"/>
                <w:bCs/>
                <w:kern w:val="0"/>
                <w:sz w:val="24"/>
                <w:lang w:eastAsia="zh-CN"/>
              </w:rPr>
            </w:pPr>
            <w:r>
              <w:rPr>
                <w:rFonts w:hint="eastAsia" w:ascii="宋体" w:hAnsi="宋体" w:cs="宋体"/>
                <w:kern w:val="0"/>
                <w:sz w:val="20"/>
                <w:szCs w:val="20"/>
                <w:lang w:bidi="ar"/>
              </w:rPr>
              <w:t>办公桌</w:t>
            </w:r>
            <w:r>
              <w:rPr>
                <w:rFonts w:hint="eastAsia" w:ascii="宋体" w:hAnsi="宋体" w:cs="宋体"/>
                <w:kern w:val="0"/>
                <w:sz w:val="20"/>
                <w:szCs w:val="20"/>
                <w:lang w:eastAsia="zh-CN" w:bidi="ar"/>
              </w:rPr>
              <w:t>（</w:t>
            </w:r>
            <w:r>
              <w:rPr>
                <w:rFonts w:hint="eastAsia" w:ascii="宋体" w:hAnsi="宋体" w:cs="宋体"/>
                <w:kern w:val="0"/>
                <w:sz w:val="20"/>
                <w:szCs w:val="20"/>
                <w:lang w:val="en-US" w:eastAsia="zh-CN" w:bidi="ar"/>
              </w:rPr>
              <w:t>核心产品</w:t>
            </w:r>
            <w:r>
              <w:rPr>
                <w:rFonts w:hint="eastAsia" w:ascii="宋体" w:hAnsi="宋体" w:cs="宋体"/>
                <w:kern w:val="0"/>
                <w:sz w:val="20"/>
                <w:szCs w:val="20"/>
                <w:lang w:eastAsia="zh-CN" w:bidi="ar"/>
              </w:rPr>
              <w:t>）</w:t>
            </w:r>
          </w:p>
        </w:tc>
        <w:tc>
          <w:tcPr>
            <w:tcW w:w="1248" w:type="dxa"/>
            <w:vAlign w:val="center"/>
          </w:tcPr>
          <w:p w14:paraId="2A045550">
            <w:pPr>
              <w:widowControl/>
              <w:jc w:val="center"/>
              <w:textAlignment w:val="center"/>
              <w:rPr>
                <w:rFonts w:hint="eastAsia" w:ascii="宋体" w:hAnsi="宋体"/>
                <w:bCs/>
                <w:kern w:val="0"/>
                <w:sz w:val="24"/>
              </w:rPr>
            </w:pPr>
            <w:r>
              <w:rPr>
                <w:rFonts w:hint="eastAsia" w:ascii="宋体" w:hAnsi="宋体" w:cs="宋体"/>
                <w:kern w:val="0"/>
                <w:sz w:val="20"/>
                <w:szCs w:val="20"/>
                <w:lang w:bidi="ar"/>
              </w:rPr>
              <w:t>1400*700*760</w:t>
            </w:r>
          </w:p>
        </w:tc>
        <w:tc>
          <w:tcPr>
            <w:tcW w:w="3685" w:type="dxa"/>
            <w:vAlign w:val="center"/>
          </w:tcPr>
          <w:p w14:paraId="1BC99699">
            <w:pPr>
              <w:pStyle w:val="2"/>
              <w:rPr>
                <w:rFonts w:hint="default" w:eastAsia="宋体"/>
                <w:sz w:val="21"/>
                <w:szCs w:val="21"/>
                <w:lang w:val="en-US" w:eastAsia="zh-CN"/>
              </w:rPr>
            </w:pPr>
            <w:r>
              <w:rPr>
                <w:rFonts w:hint="eastAsia" w:ascii="宋体" w:hAnsi="宋体" w:cs="宋体"/>
                <w:kern w:val="0"/>
                <w:sz w:val="21"/>
                <w:szCs w:val="21"/>
                <w:lang w:bidi="ar"/>
              </w:rPr>
              <w:t>1、基材：采用ENF级优质环保中密度纤维板，符合GB/T3324-20</w:t>
            </w:r>
            <w:r>
              <w:rPr>
                <w:rFonts w:hint="eastAsia" w:ascii="宋体" w:hAnsi="宋体" w:cs="宋体"/>
                <w:kern w:val="0"/>
                <w:sz w:val="21"/>
                <w:szCs w:val="21"/>
                <w:lang w:val="en-US" w:eastAsia="zh-CN" w:bidi="ar"/>
              </w:rPr>
              <w:t>24</w:t>
            </w:r>
            <w:r>
              <w:rPr>
                <w:rFonts w:hint="eastAsia" w:ascii="宋体" w:hAnsi="宋体" w:cs="宋体"/>
                <w:kern w:val="0"/>
                <w:sz w:val="21"/>
                <w:szCs w:val="21"/>
                <w:lang w:bidi="ar"/>
              </w:rPr>
              <w:t>《木家具通用技术条件》，符合 GB/T 11718-2021《中密度纤维板》、GB/T 17657-2022《人造板及饰面人造 板理化性能试验方法》、GB/T 35601-20</w:t>
            </w:r>
            <w:r>
              <w:rPr>
                <w:rFonts w:hint="eastAsia" w:ascii="宋体" w:hAnsi="宋体" w:cs="宋体"/>
                <w:kern w:val="0"/>
                <w:sz w:val="21"/>
                <w:szCs w:val="21"/>
                <w:lang w:val="en-US" w:eastAsia="zh-CN" w:bidi="ar"/>
              </w:rPr>
              <w:t>24</w:t>
            </w:r>
            <w:r>
              <w:rPr>
                <w:rFonts w:hint="eastAsia" w:ascii="宋体" w:hAnsi="宋体" w:cs="宋体"/>
                <w:kern w:val="0"/>
                <w:sz w:val="21"/>
                <w:szCs w:val="21"/>
                <w:lang w:bidi="ar"/>
              </w:rPr>
              <w:t xml:space="preserve"> 《绿色产品评价 人造板和木质地板》、GB 18584-2001 《室内装饰装修材料 木家具中有害物质限量》、GB18580-2017《室内装饰装修材料人造板及其制品中甲醛释放限量》、GB/T20284-2006《建筑材料或制品的单体燃烧试验》、GB/T8626-20</w:t>
            </w:r>
            <w:r>
              <w:rPr>
                <w:rFonts w:hint="eastAsia" w:ascii="宋体" w:hAnsi="宋体" w:cs="宋体"/>
                <w:kern w:val="0"/>
                <w:sz w:val="21"/>
                <w:szCs w:val="21"/>
                <w:lang w:val="en-US" w:eastAsia="zh-CN" w:bidi="ar"/>
              </w:rPr>
              <w:t>25</w:t>
            </w:r>
            <w:r>
              <w:rPr>
                <w:rFonts w:hint="eastAsia" w:ascii="宋体" w:hAnsi="宋体" w:cs="宋体"/>
                <w:kern w:val="0"/>
                <w:sz w:val="21"/>
                <w:szCs w:val="21"/>
                <w:lang w:bidi="ar"/>
              </w:rPr>
              <w:t>《建筑材料可燃性试验方法》，其中板内密度偏差检测在±1.0% 之内，密度0.76g/cm³，含水率4.1%，静曲强度</w:t>
            </w:r>
            <w:r>
              <w:rPr>
                <w:rFonts w:hint="eastAsia" w:ascii="宋体" w:hAnsi="宋体" w:cs="宋体"/>
                <w:kern w:val="0"/>
                <w:sz w:val="21"/>
                <w:szCs w:val="21"/>
                <w:lang w:val="en-US" w:eastAsia="zh-CN" w:bidi="ar"/>
              </w:rPr>
              <w:t>37.5</w:t>
            </w:r>
            <w:r>
              <w:rPr>
                <w:rFonts w:hint="eastAsia" w:ascii="宋体" w:hAnsi="宋体" w:cs="宋体"/>
                <w:kern w:val="0"/>
                <w:sz w:val="21"/>
                <w:szCs w:val="21"/>
                <w:lang w:bidi="ar"/>
              </w:rPr>
              <w:t>MPa，弹性模量</w:t>
            </w:r>
            <w:r>
              <w:rPr>
                <w:rFonts w:hint="eastAsia" w:ascii="宋体" w:hAnsi="宋体" w:cs="宋体"/>
                <w:kern w:val="0"/>
                <w:sz w:val="21"/>
                <w:szCs w:val="21"/>
                <w:lang w:val="en-US" w:eastAsia="zh-CN" w:bidi="ar"/>
              </w:rPr>
              <w:t>3450</w:t>
            </w:r>
            <w:r>
              <w:rPr>
                <w:rFonts w:hint="eastAsia" w:ascii="宋体" w:hAnsi="宋体" w:cs="宋体"/>
                <w:kern w:val="0"/>
                <w:sz w:val="21"/>
                <w:szCs w:val="21"/>
                <w:lang w:bidi="ar"/>
              </w:rPr>
              <w:t>MPa， 内胶合强度</w:t>
            </w:r>
            <w:r>
              <w:rPr>
                <w:rFonts w:hint="eastAsia" w:ascii="宋体" w:hAnsi="宋体" w:cs="宋体"/>
                <w:kern w:val="0"/>
                <w:sz w:val="21"/>
                <w:szCs w:val="21"/>
                <w:lang w:val="en-US" w:eastAsia="zh-CN" w:bidi="ar"/>
              </w:rPr>
              <w:t>1</w:t>
            </w:r>
            <w:r>
              <w:rPr>
                <w:rFonts w:hint="eastAsia" w:ascii="宋体" w:hAnsi="宋体" w:cs="宋体"/>
                <w:kern w:val="0"/>
                <w:sz w:val="21"/>
                <w:szCs w:val="21"/>
                <w:lang w:bidi="ar"/>
              </w:rPr>
              <w:t>MPa，表面胶合强度</w:t>
            </w:r>
            <w:r>
              <w:rPr>
                <w:rFonts w:hint="eastAsia" w:ascii="宋体" w:hAnsi="宋体" w:cs="宋体"/>
                <w:kern w:val="0"/>
                <w:sz w:val="21"/>
                <w:szCs w:val="21"/>
                <w:lang w:val="en-US" w:eastAsia="zh-CN" w:bidi="ar"/>
              </w:rPr>
              <w:t>1.80</w:t>
            </w:r>
            <w:r>
              <w:rPr>
                <w:rFonts w:hint="eastAsia" w:ascii="宋体" w:hAnsi="宋体" w:cs="宋体"/>
                <w:kern w:val="0"/>
                <w:sz w:val="21"/>
                <w:szCs w:val="21"/>
                <w:lang w:bidi="ar"/>
              </w:rPr>
              <w:t>MPa，吸水厚度膨胀率5.0%。总挥发性有机物(TVOC)未检出。苯、甲苯、二甲苯未检出。甲醛释放量甲醛释放量未检出 2、面材：采用0.6mm厚天然胡桃木皮饰面，符合GB/T29894-2013木材鉴别方法通则 GB/T</w:t>
            </w:r>
            <w:r>
              <w:rPr>
                <w:rFonts w:hint="eastAsia" w:ascii="宋体" w:hAnsi="宋体" w:cs="宋体"/>
                <w:kern w:val="0"/>
                <w:sz w:val="21"/>
                <w:szCs w:val="21"/>
                <w:lang w:val="en-US" w:eastAsia="zh-CN" w:bidi="ar"/>
              </w:rPr>
              <w:t>3324-2024材料要求（木材含水率）</w:t>
            </w:r>
          </w:p>
          <w:p w14:paraId="6636470E">
            <w:pPr>
              <w:widowControl/>
              <w:jc w:val="left"/>
              <w:textAlignment w:val="center"/>
              <w:rPr>
                <w:rFonts w:hint="eastAsia" w:ascii="宋体" w:hAnsi="宋体" w:cs="宋体"/>
                <w:kern w:val="0"/>
                <w:sz w:val="21"/>
                <w:szCs w:val="21"/>
                <w:lang w:bidi="ar"/>
              </w:rPr>
            </w:pPr>
            <w:r>
              <w:rPr>
                <w:rFonts w:hint="eastAsia" w:ascii="宋体" w:hAnsi="宋体" w:cs="宋体"/>
                <w:kern w:val="0"/>
                <w:sz w:val="21"/>
                <w:szCs w:val="21"/>
                <w:lang w:bidi="ar"/>
              </w:rPr>
              <w:t>测试方法</w:t>
            </w:r>
            <w:r>
              <w:rPr>
                <w:rFonts w:hint="eastAsia" w:ascii="宋体" w:hAnsi="宋体" w:cs="宋体"/>
                <w:kern w:val="0"/>
                <w:sz w:val="21"/>
                <w:szCs w:val="21"/>
                <w:highlight w:val="none"/>
                <w:lang w:bidi="ar"/>
              </w:rPr>
              <w:t>GB/T17657-2022人</w:t>
            </w:r>
            <w:r>
              <w:rPr>
                <w:rFonts w:hint="eastAsia" w:ascii="宋体" w:hAnsi="宋体" w:cs="宋体"/>
                <w:kern w:val="0"/>
                <w:sz w:val="21"/>
                <w:szCs w:val="21"/>
                <w:lang w:bidi="ar"/>
              </w:rPr>
              <w:t>造板及饰面人造板理化性能实验方法 GB/T13010-2020刨切单板 标准，木材含水率8%，甲醛释放量未检出，木皮纹理清晰自然、色泽一致、表面平整光滑、耐磨性好，且经防虫防腐处理。 3、封边：四周显露部位使用与木皮材质一致的实木</w:t>
            </w:r>
            <w:r>
              <w:rPr>
                <w:rFonts w:hint="eastAsia" w:ascii="宋体" w:hAnsi="宋体" w:cs="宋体"/>
                <w:kern w:val="0"/>
                <w:sz w:val="21"/>
                <w:szCs w:val="21"/>
                <w:lang w:val="en-US" w:eastAsia="zh-CN" w:bidi="ar"/>
              </w:rPr>
              <w:t>木皮</w:t>
            </w:r>
            <w:r>
              <w:rPr>
                <w:rFonts w:hint="eastAsia" w:ascii="宋体" w:hAnsi="宋体" w:cs="宋体"/>
                <w:kern w:val="0"/>
                <w:sz w:val="21"/>
                <w:szCs w:val="21"/>
                <w:lang w:bidi="ar"/>
              </w:rPr>
              <w:t>封边，厚度</w:t>
            </w:r>
            <w:r>
              <w:rPr>
                <w:rFonts w:hint="eastAsia" w:ascii="宋体" w:hAnsi="宋体" w:cs="宋体"/>
                <w:kern w:val="0"/>
                <w:sz w:val="21"/>
                <w:szCs w:val="21"/>
                <w:lang w:val="en-US" w:eastAsia="zh-CN" w:bidi="ar"/>
              </w:rPr>
              <w:t>0.6</w:t>
            </w:r>
            <w:r>
              <w:rPr>
                <w:rFonts w:hint="eastAsia" w:ascii="宋体" w:hAnsi="宋体" w:cs="宋体"/>
                <w:kern w:val="0"/>
                <w:sz w:val="21"/>
                <w:szCs w:val="21"/>
                <w:lang w:bidi="ar"/>
              </w:rPr>
              <w:t>mm。4、油漆：采用环保水性底漆、水性面漆涂饰,保证漆面的光泽度、耐磨性、硬度（擦伤）达到行业标准，各项指标符合国际环保要求。5底3面工艺，依据GB/T 23999-2009《室内装饰装修用水性木器涂料》、GB18581-2020《木器涂料中有害物质限量》、HJ2537-2014《环境标志产品技术要求水性涂料》、GB/T21866-20</w:t>
            </w:r>
            <w:r>
              <w:rPr>
                <w:rFonts w:hint="eastAsia" w:ascii="宋体" w:hAnsi="宋体" w:cs="宋体"/>
                <w:kern w:val="0"/>
                <w:sz w:val="21"/>
                <w:szCs w:val="21"/>
                <w:lang w:val="en-US" w:eastAsia="zh-CN" w:bidi="ar"/>
              </w:rPr>
              <w:t>25</w:t>
            </w:r>
            <w:r>
              <w:rPr>
                <w:rFonts w:hint="eastAsia" w:ascii="宋体" w:hAnsi="宋体" w:cs="宋体"/>
                <w:kern w:val="0"/>
                <w:sz w:val="21"/>
                <w:szCs w:val="21"/>
                <w:lang w:bidi="ar"/>
              </w:rPr>
              <w:t>《抗菌涂料(漆膜)抗菌性测定法和抗菌效果》，其中VOC含量(涂料)、苯、甲苯、二甲苯、乙苯的总量未检出，苯系物总和含量未检出，游离甲醛未检出。5、五金件：</w:t>
            </w:r>
            <w:r>
              <w:rPr>
                <w:rFonts w:hint="eastAsia" w:ascii="宋体" w:hAnsi="宋体" w:eastAsia="宋体" w:cs="宋体"/>
                <w:i w:val="0"/>
                <w:iCs w:val="0"/>
                <w:color w:val="000000"/>
                <w:kern w:val="0"/>
                <w:sz w:val="21"/>
                <w:szCs w:val="21"/>
                <w:u w:val="none"/>
                <w:lang w:val="en-US" w:eastAsia="zh-CN" w:bidi="ar"/>
              </w:rPr>
              <w:t>三节静音阻尼滑轨、锁具以及连接件</w:t>
            </w:r>
            <w:r>
              <w:rPr>
                <w:rFonts w:hint="eastAsia" w:ascii="宋体" w:hAnsi="宋体" w:cs="宋体"/>
                <w:kern w:val="0"/>
                <w:sz w:val="21"/>
                <w:szCs w:val="21"/>
                <w:lang w:bidi="ar"/>
              </w:rPr>
              <w:t>。6、工艺：人造板部件全部双饰面、封四边，走线孔内缘和隐蔽部位全部封边或密封处理，板两面双贴木皮，实木封边，两面均衡油饰。</w:t>
            </w:r>
          </w:p>
        </w:tc>
        <w:tc>
          <w:tcPr>
            <w:tcW w:w="709" w:type="dxa"/>
            <w:vAlign w:val="center"/>
          </w:tcPr>
          <w:p w14:paraId="5B464A5D">
            <w:pPr>
              <w:widowControl/>
              <w:jc w:val="center"/>
              <w:textAlignment w:val="center"/>
              <w:rPr>
                <w:rFonts w:hint="eastAsia" w:ascii="宋体" w:hAnsi="宋体"/>
                <w:bCs/>
                <w:kern w:val="0"/>
                <w:sz w:val="24"/>
              </w:rPr>
            </w:pPr>
            <w:r>
              <w:rPr>
                <w:rFonts w:hint="eastAsia" w:ascii="宋体" w:hAnsi="宋体" w:cs="宋体"/>
                <w:kern w:val="0"/>
                <w:sz w:val="20"/>
                <w:szCs w:val="20"/>
                <w:lang w:bidi="ar"/>
              </w:rPr>
              <w:t>件</w:t>
            </w:r>
          </w:p>
        </w:tc>
        <w:tc>
          <w:tcPr>
            <w:tcW w:w="850" w:type="dxa"/>
            <w:vAlign w:val="center"/>
          </w:tcPr>
          <w:p w14:paraId="15681512">
            <w:pPr>
              <w:widowControl/>
              <w:jc w:val="center"/>
              <w:textAlignment w:val="center"/>
              <w:rPr>
                <w:rFonts w:hint="eastAsia" w:ascii="宋体" w:hAnsi="宋体"/>
                <w:bCs/>
                <w:kern w:val="0"/>
                <w:sz w:val="24"/>
              </w:rPr>
            </w:pPr>
            <w:r>
              <w:rPr>
                <w:rFonts w:hint="eastAsia" w:ascii="宋体" w:hAnsi="宋体" w:cs="宋体"/>
                <w:kern w:val="0"/>
                <w:sz w:val="20"/>
                <w:szCs w:val="20"/>
                <w:lang w:bidi="ar"/>
              </w:rPr>
              <w:t>150</w:t>
            </w:r>
          </w:p>
        </w:tc>
      </w:tr>
      <w:tr w14:paraId="64128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14:paraId="31D3FEB2">
            <w:pPr>
              <w:widowControl/>
              <w:jc w:val="center"/>
              <w:textAlignment w:val="center"/>
              <w:rPr>
                <w:rFonts w:hint="eastAsia" w:ascii="宋体" w:hAnsi="宋体"/>
                <w:bCs/>
                <w:kern w:val="0"/>
                <w:sz w:val="24"/>
              </w:rPr>
            </w:pPr>
            <w:r>
              <w:rPr>
                <w:rFonts w:hint="eastAsia" w:ascii="宋体" w:hAnsi="宋体" w:cs="宋体"/>
                <w:kern w:val="0"/>
                <w:sz w:val="24"/>
                <w:lang w:bidi="ar"/>
              </w:rPr>
              <w:t>2</w:t>
            </w:r>
          </w:p>
        </w:tc>
        <w:tc>
          <w:tcPr>
            <w:tcW w:w="1313" w:type="dxa"/>
            <w:vAlign w:val="center"/>
          </w:tcPr>
          <w:p w14:paraId="2393376D">
            <w:pPr>
              <w:widowControl/>
              <w:jc w:val="center"/>
              <w:textAlignment w:val="center"/>
              <w:rPr>
                <w:rFonts w:hint="eastAsia" w:ascii="宋体" w:hAnsi="宋体"/>
                <w:bCs/>
                <w:kern w:val="0"/>
                <w:sz w:val="24"/>
              </w:rPr>
            </w:pPr>
            <w:r>
              <w:rPr>
                <w:rFonts w:hint="eastAsia" w:ascii="宋体" w:hAnsi="宋体" w:cs="宋体"/>
                <w:kern w:val="0"/>
                <w:sz w:val="20"/>
                <w:szCs w:val="20"/>
                <w:lang w:bidi="ar"/>
              </w:rPr>
              <w:t>文件柜</w:t>
            </w:r>
          </w:p>
        </w:tc>
        <w:tc>
          <w:tcPr>
            <w:tcW w:w="1248" w:type="dxa"/>
            <w:vAlign w:val="center"/>
          </w:tcPr>
          <w:p w14:paraId="75532E80">
            <w:pPr>
              <w:widowControl/>
              <w:jc w:val="center"/>
              <w:textAlignment w:val="center"/>
              <w:rPr>
                <w:rFonts w:hint="eastAsia" w:ascii="宋体" w:hAnsi="宋体"/>
                <w:bCs/>
                <w:kern w:val="0"/>
                <w:sz w:val="24"/>
              </w:rPr>
            </w:pPr>
            <w:r>
              <w:rPr>
                <w:rFonts w:hint="eastAsia" w:ascii="宋体" w:hAnsi="宋体" w:cs="宋体"/>
                <w:kern w:val="0"/>
                <w:sz w:val="20"/>
                <w:szCs w:val="20"/>
                <w:lang w:bidi="ar"/>
              </w:rPr>
              <w:t>900*420*2000</w:t>
            </w:r>
          </w:p>
        </w:tc>
        <w:tc>
          <w:tcPr>
            <w:tcW w:w="3685" w:type="dxa"/>
            <w:vAlign w:val="center"/>
          </w:tcPr>
          <w:p w14:paraId="2E4A8310">
            <w:pPr>
              <w:widowControl/>
              <w:jc w:val="left"/>
              <w:textAlignment w:val="center"/>
              <w:rPr>
                <w:rFonts w:hint="eastAsia" w:ascii="宋体" w:hAnsi="宋体" w:cs="宋体"/>
                <w:kern w:val="0"/>
                <w:sz w:val="21"/>
                <w:szCs w:val="21"/>
                <w:lang w:bidi="ar"/>
              </w:rPr>
            </w:pPr>
            <w:r>
              <w:rPr>
                <w:rFonts w:ascii="宋体" w:hAnsi="宋体" w:cs="仿宋_GB2312"/>
                <w:kern w:val="0"/>
                <w:sz w:val="21"/>
                <w:szCs w:val="21"/>
                <w:lang w:bidi="ar"/>
              </w:rPr>
              <w:t>1、基材：采用ENF级优质环保中密度纤维板，符合GB/T3324-</w:t>
            </w:r>
            <w:r>
              <w:rPr>
                <w:rFonts w:hint="eastAsia" w:ascii="宋体" w:hAnsi="宋体" w:cs="仿宋_GB2312"/>
                <w:kern w:val="0"/>
                <w:sz w:val="21"/>
                <w:szCs w:val="21"/>
                <w:lang w:val="en-US" w:eastAsia="zh-CN" w:bidi="ar"/>
              </w:rPr>
              <w:t>2024</w:t>
            </w:r>
            <w:r>
              <w:rPr>
                <w:rFonts w:ascii="宋体" w:hAnsi="宋体" w:cs="仿宋_GB2312"/>
                <w:kern w:val="0"/>
                <w:sz w:val="21"/>
                <w:szCs w:val="21"/>
                <w:lang w:bidi="ar"/>
              </w:rPr>
              <w:t>《木家具通用技术条件》，符合 GB/T 11718-2021《中密度纤维板》、GB/T 17657-2022《人造板及饰面人造 板理化性能试验方法》、</w:t>
            </w:r>
            <w:r>
              <w:rPr>
                <w:rFonts w:hint="eastAsia" w:ascii="宋体" w:hAnsi="宋体" w:cs="仿宋_GB2312"/>
                <w:kern w:val="0"/>
                <w:sz w:val="21"/>
                <w:szCs w:val="21"/>
                <w:lang w:eastAsia="zh-CN" w:bidi="ar"/>
              </w:rPr>
              <w:t>GB/T 35601-2024</w:t>
            </w:r>
            <w:r>
              <w:rPr>
                <w:rFonts w:ascii="宋体" w:hAnsi="宋体" w:cs="仿宋_GB2312"/>
                <w:kern w:val="0"/>
                <w:sz w:val="21"/>
                <w:szCs w:val="21"/>
                <w:lang w:bidi="ar"/>
              </w:rPr>
              <w:t xml:space="preserve"> 《绿色产品评价 人造板和木质地板》、GB 18584-2001 《室内装饰装修材料 木家具中有害物质限量》、GB18580-2017《室内装饰装修材料人造板及其制品中甲醛释放限量》、GB/T20284-2006《建筑材料或制品的单体燃烧试验》、</w:t>
            </w:r>
            <w:r>
              <w:rPr>
                <w:rFonts w:hint="eastAsia" w:ascii="宋体" w:hAnsi="宋体" w:cs="仿宋_GB2312"/>
                <w:kern w:val="0"/>
                <w:sz w:val="21"/>
                <w:szCs w:val="21"/>
                <w:lang w:eastAsia="zh-CN" w:bidi="ar"/>
              </w:rPr>
              <w:t>GB/T8626-2025</w:t>
            </w:r>
            <w:r>
              <w:rPr>
                <w:rFonts w:ascii="宋体" w:hAnsi="宋体" w:cs="仿宋_GB2312"/>
                <w:kern w:val="0"/>
                <w:sz w:val="21"/>
                <w:szCs w:val="21"/>
                <w:lang w:bidi="ar"/>
              </w:rPr>
              <w:t>《建筑材料可燃性试验方法》，</w:t>
            </w:r>
            <w:r>
              <w:rPr>
                <w:rFonts w:hint="eastAsia" w:ascii="宋体" w:hAnsi="宋体" w:cs="宋体"/>
                <w:kern w:val="0"/>
                <w:sz w:val="21"/>
                <w:szCs w:val="21"/>
                <w:lang w:bidi="ar"/>
              </w:rPr>
              <w:t>其中板内密度偏差检测在±1.0% 之内，密度0.76g/cm³，含水率4.1%，静曲强度24.4MPa，弹性模量3000MPa， 内胶合强度0.70MPa，表面胶合强度1.26MPa，吸水厚度膨胀率5.0%。</w:t>
            </w:r>
            <w:r>
              <w:rPr>
                <w:rFonts w:ascii="宋体" w:hAnsi="宋体" w:cs="仿宋_GB2312"/>
                <w:kern w:val="0"/>
                <w:sz w:val="21"/>
                <w:szCs w:val="21"/>
                <w:lang w:bidi="ar"/>
              </w:rPr>
              <w:t>。总挥发性有机物(TVOC)未检出。苯、甲苯、二甲苯未检出。甲醛释放量甲醛释放量</w:t>
            </w:r>
            <w:r>
              <w:rPr>
                <w:rFonts w:hint="eastAsia" w:ascii="宋体" w:hAnsi="宋体" w:cs="仿宋_GB2312"/>
                <w:kern w:val="0"/>
                <w:sz w:val="21"/>
                <w:szCs w:val="21"/>
                <w:lang w:bidi="ar"/>
              </w:rPr>
              <w:t>未检出。</w:t>
            </w:r>
            <w:r>
              <w:rPr>
                <w:rFonts w:ascii="宋体" w:hAnsi="宋体" w:cs="仿宋_GB2312"/>
                <w:kern w:val="0"/>
                <w:sz w:val="21"/>
                <w:szCs w:val="21"/>
                <w:lang w:bidi="ar"/>
              </w:rPr>
              <w:t>面材：采用0.6mm厚天然胡桃木皮饰面，符合GB/T29894-2013木材鉴别方法通则 GB/T1931-2009木材含水率测试方法GB/T17657-2022人造板及饰面人造板理化性能实验方法 GB/T13010-2020刨切单板 标准，木材含水率8%，甲醛释放量未检出，木皮纹理清晰自然、色泽一致、表面平整光滑、耐磨性好，且经防虫防腐处理。3、封边：四周显露部位使用与木皮材质一致的实木封边，厚度</w:t>
            </w:r>
            <w:r>
              <w:rPr>
                <w:rFonts w:hint="eastAsia" w:ascii="宋体" w:hAnsi="宋体" w:cs="仿宋_GB2312"/>
                <w:kern w:val="0"/>
                <w:sz w:val="21"/>
                <w:szCs w:val="21"/>
                <w:lang w:val="en-US" w:eastAsia="zh-CN" w:bidi="ar"/>
              </w:rPr>
              <w:t>0.6</w:t>
            </w:r>
            <w:r>
              <w:rPr>
                <w:rFonts w:ascii="宋体" w:hAnsi="宋体" w:cs="仿宋_GB2312"/>
                <w:kern w:val="0"/>
                <w:sz w:val="21"/>
                <w:szCs w:val="21"/>
                <w:lang w:bidi="ar"/>
              </w:rPr>
              <w:t>mm。4、油漆：采用环保水性底漆、水性面漆涂饰,保证漆面的光泽度、耐磨性、硬度（擦伤）达到行业标准，各项指标符合国际环保要求。5底3面工艺，依据GB/T 23999-2009《室内装饰装修用水性木器涂料》、GB18581-2020《木器涂料中有害物质限量》、HJ2537-2014《环境标志产品技术要求水性涂料》、GB/T21866-2008《抗菌涂料(漆膜)抗菌性测定法和抗菌效果》，其中VOC含量(涂料)、苯、甲苯、二甲苯、乙苯的总量未检出，苯系物总和含量未检出，游离甲醛未检出。5、五金件：</w:t>
            </w:r>
            <w:r>
              <w:rPr>
                <w:rFonts w:hint="eastAsia" w:ascii="宋体" w:hAnsi="宋体" w:eastAsia="宋体" w:cs="宋体"/>
                <w:i w:val="0"/>
                <w:iCs w:val="0"/>
                <w:color w:val="000000"/>
                <w:kern w:val="0"/>
                <w:sz w:val="21"/>
                <w:szCs w:val="21"/>
                <w:u w:val="none"/>
                <w:lang w:val="en-US" w:eastAsia="zh-CN" w:bidi="ar"/>
              </w:rPr>
              <w:t>阻尼铰链以及连接件，配尼龙脚垫</w:t>
            </w:r>
            <w:r>
              <w:rPr>
                <w:rFonts w:ascii="宋体" w:hAnsi="宋体" w:cs="仿宋_GB2312"/>
                <w:kern w:val="0"/>
                <w:sz w:val="21"/>
                <w:szCs w:val="21"/>
                <w:lang w:bidi="ar"/>
              </w:rPr>
              <w:t>。6、工艺：人造板部件全部双饰面、封四边，走线孔内缘和隐蔽部位全部封边或密封处理，板两面双贴木皮，实木封边，两面均衡油饰。</w:t>
            </w:r>
          </w:p>
        </w:tc>
        <w:tc>
          <w:tcPr>
            <w:tcW w:w="709" w:type="dxa"/>
            <w:vAlign w:val="center"/>
          </w:tcPr>
          <w:p w14:paraId="781AC353">
            <w:pPr>
              <w:widowControl/>
              <w:jc w:val="center"/>
              <w:textAlignment w:val="center"/>
              <w:rPr>
                <w:rFonts w:hint="eastAsia" w:ascii="宋体" w:hAnsi="宋体"/>
                <w:bCs/>
                <w:kern w:val="0"/>
                <w:sz w:val="24"/>
              </w:rPr>
            </w:pPr>
            <w:r>
              <w:rPr>
                <w:rFonts w:hint="eastAsia" w:ascii="宋体" w:hAnsi="宋体" w:cs="宋体"/>
                <w:kern w:val="0"/>
                <w:sz w:val="20"/>
                <w:szCs w:val="20"/>
                <w:lang w:bidi="ar"/>
              </w:rPr>
              <w:t>件</w:t>
            </w:r>
          </w:p>
        </w:tc>
        <w:tc>
          <w:tcPr>
            <w:tcW w:w="850" w:type="dxa"/>
            <w:vAlign w:val="center"/>
          </w:tcPr>
          <w:p w14:paraId="11D90924">
            <w:pPr>
              <w:widowControl/>
              <w:jc w:val="center"/>
              <w:textAlignment w:val="center"/>
              <w:rPr>
                <w:rFonts w:hint="eastAsia" w:ascii="宋体" w:hAnsi="宋体"/>
                <w:bCs/>
                <w:kern w:val="0"/>
                <w:sz w:val="24"/>
              </w:rPr>
            </w:pPr>
            <w:r>
              <w:rPr>
                <w:rFonts w:hint="eastAsia" w:ascii="宋体" w:hAnsi="宋体" w:cs="宋体"/>
                <w:kern w:val="0"/>
                <w:sz w:val="20"/>
                <w:szCs w:val="20"/>
                <w:lang w:bidi="ar"/>
              </w:rPr>
              <w:t>150</w:t>
            </w:r>
          </w:p>
        </w:tc>
      </w:tr>
      <w:tr w14:paraId="17F22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14:paraId="0C7EE681">
            <w:pPr>
              <w:widowControl/>
              <w:jc w:val="center"/>
              <w:textAlignment w:val="center"/>
              <w:rPr>
                <w:rFonts w:hint="eastAsia" w:ascii="宋体" w:hAnsi="宋体"/>
                <w:bCs/>
                <w:kern w:val="0"/>
                <w:sz w:val="24"/>
              </w:rPr>
            </w:pPr>
            <w:r>
              <w:rPr>
                <w:rFonts w:hint="eastAsia" w:ascii="宋体" w:hAnsi="宋体" w:cs="宋体"/>
                <w:kern w:val="0"/>
                <w:sz w:val="24"/>
                <w:lang w:bidi="ar"/>
              </w:rPr>
              <w:t>3</w:t>
            </w:r>
          </w:p>
        </w:tc>
        <w:tc>
          <w:tcPr>
            <w:tcW w:w="1313" w:type="dxa"/>
            <w:vAlign w:val="center"/>
          </w:tcPr>
          <w:p w14:paraId="5C093978">
            <w:pPr>
              <w:widowControl/>
              <w:jc w:val="center"/>
              <w:textAlignment w:val="center"/>
              <w:rPr>
                <w:rFonts w:hint="eastAsia" w:ascii="宋体" w:hAnsi="宋体"/>
                <w:bCs/>
                <w:kern w:val="0"/>
                <w:sz w:val="24"/>
              </w:rPr>
            </w:pPr>
            <w:r>
              <w:rPr>
                <w:rFonts w:hint="eastAsia" w:ascii="宋体" w:hAnsi="宋体" w:cs="宋体"/>
                <w:kern w:val="0"/>
                <w:sz w:val="20"/>
                <w:szCs w:val="20"/>
                <w:lang w:bidi="ar"/>
              </w:rPr>
              <w:t>办公椅</w:t>
            </w:r>
          </w:p>
        </w:tc>
        <w:tc>
          <w:tcPr>
            <w:tcW w:w="1248" w:type="dxa"/>
            <w:vAlign w:val="center"/>
          </w:tcPr>
          <w:p w14:paraId="5A833226">
            <w:pPr>
              <w:widowControl/>
              <w:jc w:val="center"/>
              <w:textAlignment w:val="center"/>
              <w:rPr>
                <w:rFonts w:hint="eastAsia" w:ascii="宋体" w:hAnsi="宋体"/>
                <w:bCs/>
                <w:kern w:val="0"/>
                <w:sz w:val="24"/>
              </w:rPr>
            </w:pPr>
            <w:r>
              <w:rPr>
                <w:rFonts w:hint="eastAsia" w:ascii="宋体" w:hAnsi="宋体" w:cs="宋体"/>
                <w:kern w:val="0"/>
                <w:sz w:val="20"/>
                <w:szCs w:val="20"/>
                <w:lang w:bidi="ar"/>
              </w:rPr>
              <w:t>标准</w:t>
            </w:r>
          </w:p>
        </w:tc>
        <w:tc>
          <w:tcPr>
            <w:tcW w:w="3685" w:type="dxa"/>
            <w:vAlign w:val="center"/>
          </w:tcPr>
          <w:p w14:paraId="74C68FB5">
            <w:pPr>
              <w:widowControl/>
              <w:jc w:val="left"/>
              <w:textAlignment w:val="center"/>
              <w:rPr>
                <w:rFonts w:hint="eastAsia" w:ascii="宋体" w:hAnsi="宋体" w:cs="宋体"/>
                <w:kern w:val="0"/>
                <w:sz w:val="21"/>
                <w:szCs w:val="21"/>
                <w:lang w:bidi="ar"/>
              </w:rPr>
            </w:pPr>
            <w:r>
              <w:rPr>
                <w:rFonts w:hint="eastAsia" w:ascii="宋体" w:hAnsi="宋体" w:cs="宋体"/>
                <w:kern w:val="0"/>
                <w:sz w:val="21"/>
                <w:szCs w:val="21"/>
                <w:lang w:bidi="ar"/>
              </w:rPr>
              <w:t>饰面：高弹性透气聚酯网状</w:t>
            </w:r>
            <w:r>
              <w:rPr>
                <w:rFonts w:hint="eastAsia" w:ascii="宋体" w:hAnsi="宋体" w:cs="宋体"/>
                <w:kern w:val="0"/>
                <w:sz w:val="21"/>
                <w:szCs w:val="21"/>
                <w:lang w:val="en-US" w:eastAsia="zh-CN" w:bidi="ar"/>
              </w:rPr>
              <w:t>面料</w:t>
            </w:r>
            <w:r>
              <w:rPr>
                <w:rFonts w:hint="eastAsia" w:ascii="宋体" w:hAnsi="宋体" w:cs="宋体"/>
                <w:kern w:val="0"/>
                <w:sz w:val="21"/>
                <w:szCs w:val="21"/>
                <w:lang w:bidi="ar"/>
              </w:rPr>
              <w:t>，透气性能和散热性能佳。海棉：</w:t>
            </w:r>
            <w:r>
              <w:rPr>
                <w:rFonts w:hint="eastAsia" w:ascii="宋体" w:hAnsi="宋体" w:eastAsia="宋体" w:cs="宋体"/>
                <w:i w:val="0"/>
                <w:iCs w:val="0"/>
                <w:color w:val="000000"/>
                <w:kern w:val="0"/>
                <w:sz w:val="21"/>
                <w:szCs w:val="21"/>
                <w:u w:val="none"/>
                <w:lang w:val="en-US" w:eastAsia="zh-CN" w:bidi="ar"/>
              </w:rPr>
              <w:t>内衬高回弹PU泡棉</w:t>
            </w:r>
            <w:r>
              <w:rPr>
                <w:rFonts w:hint="eastAsia" w:ascii="宋体" w:hAnsi="宋体" w:cs="宋体"/>
                <w:kern w:val="0"/>
                <w:sz w:val="21"/>
                <w:szCs w:val="21"/>
                <w:lang w:bidi="ar"/>
              </w:rPr>
              <w:t>，泡棉密度座面≥</w:t>
            </w:r>
            <w:r>
              <w:rPr>
                <w:rFonts w:hint="eastAsia" w:ascii="宋体" w:hAnsi="宋体" w:cs="宋体"/>
                <w:kern w:val="0"/>
                <w:sz w:val="21"/>
                <w:szCs w:val="21"/>
                <w:lang w:val="en-US" w:eastAsia="zh-CN" w:bidi="ar"/>
              </w:rPr>
              <w:t>31</w:t>
            </w:r>
            <w:r>
              <w:rPr>
                <w:rFonts w:hint="eastAsia" w:ascii="宋体" w:hAnsi="宋体" w:cs="宋体"/>
                <w:kern w:val="0"/>
                <w:sz w:val="21"/>
                <w:szCs w:val="21"/>
                <w:lang w:bidi="ar"/>
              </w:rPr>
              <w:t>kg/m3，背≥30kg/ m3，回弹性40%，理化性能应符合国家现行标准，软硬适中，压膜量达到国家现行检测标准。机构：</w:t>
            </w:r>
            <w:r>
              <w:rPr>
                <w:rFonts w:hint="eastAsia" w:ascii="宋体" w:hAnsi="宋体" w:eastAsia="宋体" w:cs="宋体"/>
                <w:i w:val="0"/>
                <w:iCs w:val="0"/>
                <w:color w:val="000000"/>
                <w:kern w:val="0"/>
                <w:sz w:val="21"/>
                <w:szCs w:val="21"/>
                <w:u w:val="none"/>
                <w:lang w:val="en-US" w:eastAsia="zh-CN" w:bidi="ar"/>
              </w:rPr>
              <w:t>实现椅背与座位同步倾仰，满足不同倾仰状态的使用</w:t>
            </w:r>
            <w:r>
              <w:rPr>
                <w:rFonts w:hint="eastAsia" w:ascii="宋体" w:hAnsi="宋体" w:cs="宋体"/>
                <w:kern w:val="0"/>
                <w:sz w:val="21"/>
                <w:szCs w:val="21"/>
                <w:lang w:bidi="ar"/>
              </w:rPr>
              <w:t>。气 压 棒：</w:t>
            </w:r>
            <w:r>
              <w:rPr>
                <w:rFonts w:hint="eastAsia" w:ascii="宋体" w:hAnsi="宋体" w:eastAsia="宋体" w:cs="宋体"/>
                <w:i w:val="0"/>
                <w:iCs w:val="0"/>
                <w:color w:val="000000"/>
                <w:kern w:val="0"/>
                <w:sz w:val="21"/>
                <w:szCs w:val="21"/>
                <w:u w:val="none"/>
                <w:lang w:val="en-US" w:eastAsia="zh-CN" w:bidi="ar"/>
              </w:rPr>
              <w:t>确保气压室密闭强度，提高安全性</w:t>
            </w:r>
            <w:r>
              <w:rPr>
                <w:rFonts w:hint="eastAsia" w:ascii="宋体" w:hAnsi="宋体" w:cs="宋体"/>
                <w:kern w:val="0"/>
                <w:sz w:val="21"/>
                <w:szCs w:val="21"/>
                <w:lang w:bidi="ar"/>
              </w:rPr>
              <w:t>。五星脚：工程塑料五星脚架，尼龙纤维合成脚轮。可午休。</w:t>
            </w:r>
          </w:p>
        </w:tc>
        <w:tc>
          <w:tcPr>
            <w:tcW w:w="709" w:type="dxa"/>
            <w:vAlign w:val="center"/>
          </w:tcPr>
          <w:p w14:paraId="561298A3">
            <w:pPr>
              <w:widowControl/>
              <w:jc w:val="center"/>
              <w:textAlignment w:val="center"/>
              <w:rPr>
                <w:rFonts w:hint="eastAsia" w:ascii="宋体" w:hAnsi="宋体"/>
                <w:bCs/>
                <w:kern w:val="0"/>
                <w:sz w:val="24"/>
              </w:rPr>
            </w:pPr>
            <w:r>
              <w:rPr>
                <w:rFonts w:hint="eastAsia" w:ascii="宋体" w:hAnsi="宋体" w:cs="宋体"/>
                <w:kern w:val="0"/>
                <w:sz w:val="20"/>
                <w:szCs w:val="20"/>
                <w:lang w:bidi="ar"/>
              </w:rPr>
              <w:t>件</w:t>
            </w:r>
          </w:p>
        </w:tc>
        <w:tc>
          <w:tcPr>
            <w:tcW w:w="850" w:type="dxa"/>
            <w:vAlign w:val="center"/>
          </w:tcPr>
          <w:p w14:paraId="6BCBDCC0">
            <w:pPr>
              <w:widowControl/>
              <w:jc w:val="center"/>
              <w:textAlignment w:val="center"/>
              <w:rPr>
                <w:rFonts w:hint="eastAsia" w:ascii="宋体" w:hAnsi="宋体"/>
                <w:bCs/>
                <w:kern w:val="0"/>
                <w:sz w:val="24"/>
              </w:rPr>
            </w:pPr>
            <w:r>
              <w:rPr>
                <w:rFonts w:hint="eastAsia" w:ascii="宋体" w:hAnsi="宋体" w:cs="宋体"/>
                <w:kern w:val="0"/>
                <w:sz w:val="20"/>
                <w:szCs w:val="20"/>
                <w:lang w:bidi="ar"/>
              </w:rPr>
              <w:t>150</w:t>
            </w:r>
          </w:p>
        </w:tc>
      </w:tr>
      <w:tr w14:paraId="4A8B1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842" w:type="dxa"/>
            <w:vAlign w:val="center"/>
          </w:tcPr>
          <w:p w14:paraId="1F47FB05">
            <w:pPr>
              <w:widowControl/>
              <w:jc w:val="center"/>
              <w:textAlignment w:val="center"/>
              <w:rPr>
                <w:rFonts w:hint="eastAsia" w:ascii="宋体" w:hAnsi="宋体"/>
                <w:bCs/>
                <w:kern w:val="0"/>
                <w:sz w:val="24"/>
              </w:rPr>
            </w:pPr>
            <w:r>
              <w:rPr>
                <w:rFonts w:hint="eastAsia" w:ascii="宋体" w:hAnsi="宋体" w:cs="宋体"/>
                <w:kern w:val="0"/>
                <w:sz w:val="24"/>
                <w:lang w:bidi="ar"/>
              </w:rPr>
              <w:t>4</w:t>
            </w:r>
          </w:p>
        </w:tc>
        <w:tc>
          <w:tcPr>
            <w:tcW w:w="1313" w:type="dxa"/>
            <w:vAlign w:val="center"/>
          </w:tcPr>
          <w:p w14:paraId="0F93377F">
            <w:pPr>
              <w:widowControl/>
              <w:jc w:val="center"/>
              <w:textAlignment w:val="center"/>
              <w:rPr>
                <w:rFonts w:hint="eastAsia" w:ascii="宋体" w:hAnsi="宋体"/>
                <w:bCs/>
                <w:kern w:val="0"/>
                <w:sz w:val="24"/>
              </w:rPr>
            </w:pPr>
            <w:r>
              <w:rPr>
                <w:rFonts w:hint="eastAsia" w:ascii="宋体" w:hAnsi="宋体" w:cs="宋体"/>
                <w:kern w:val="0"/>
                <w:sz w:val="20"/>
                <w:szCs w:val="20"/>
                <w:lang w:bidi="ar"/>
              </w:rPr>
              <w:t>会议条桌</w:t>
            </w:r>
          </w:p>
        </w:tc>
        <w:tc>
          <w:tcPr>
            <w:tcW w:w="1248" w:type="dxa"/>
            <w:vAlign w:val="center"/>
          </w:tcPr>
          <w:p w14:paraId="23176CD9">
            <w:pPr>
              <w:widowControl/>
              <w:jc w:val="center"/>
              <w:textAlignment w:val="center"/>
              <w:rPr>
                <w:rFonts w:hint="eastAsia" w:ascii="宋体" w:hAnsi="宋体"/>
                <w:bCs/>
                <w:kern w:val="0"/>
                <w:sz w:val="24"/>
              </w:rPr>
            </w:pPr>
            <w:r>
              <w:rPr>
                <w:rFonts w:hint="eastAsia" w:ascii="宋体" w:hAnsi="宋体" w:cs="宋体"/>
                <w:kern w:val="0"/>
                <w:sz w:val="20"/>
                <w:szCs w:val="20"/>
                <w:lang w:bidi="ar"/>
              </w:rPr>
              <w:t>1200*500*760</w:t>
            </w:r>
          </w:p>
        </w:tc>
        <w:tc>
          <w:tcPr>
            <w:tcW w:w="3685" w:type="dxa"/>
            <w:vAlign w:val="center"/>
          </w:tcPr>
          <w:p w14:paraId="0C6C5D8C">
            <w:pPr>
              <w:widowControl/>
              <w:jc w:val="left"/>
              <w:textAlignment w:val="center"/>
              <w:rPr>
                <w:rFonts w:hint="eastAsia" w:ascii="宋体" w:hAnsi="宋体" w:cs="宋体"/>
                <w:kern w:val="0"/>
                <w:sz w:val="21"/>
                <w:szCs w:val="21"/>
                <w:lang w:bidi="ar"/>
              </w:rPr>
            </w:pPr>
            <w:r>
              <w:rPr>
                <w:rFonts w:hint="eastAsia" w:ascii="宋体" w:hAnsi="宋体" w:cs="宋体"/>
                <w:kern w:val="0"/>
                <w:sz w:val="21"/>
                <w:szCs w:val="21"/>
                <w:lang w:bidi="ar"/>
              </w:rPr>
              <w:t>1.基材：采用ENF级刨花板，甲醛释放量≤0.025mg/m³，TVOC含量≤100μg/m³，苯≤10μg/m³，甲苯、二甲苯含量≤20μg/m³，木材含水率3%-13%，2h吸水膨胀率≤8.0%；符合GB/T 39600-2021《人造板及其制品甲醛释放量分级》;GB/T 4897-2015《刨花板》，GB/T 35601-</w:t>
            </w:r>
            <w:r>
              <w:rPr>
                <w:rFonts w:hint="eastAsia" w:ascii="宋体" w:hAnsi="宋体" w:cs="宋体"/>
                <w:kern w:val="0"/>
                <w:sz w:val="21"/>
                <w:szCs w:val="21"/>
                <w:lang w:val="en-US" w:eastAsia="zh-CN" w:bidi="ar"/>
              </w:rPr>
              <w:t>2024</w:t>
            </w:r>
            <w:r>
              <w:rPr>
                <w:rFonts w:hint="eastAsia" w:ascii="宋体" w:hAnsi="宋体" w:cs="宋体"/>
                <w:kern w:val="0"/>
                <w:sz w:val="21"/>
                <w:szCs w:val="21"/>
                <w:lang w:bidi="ar"/>
              </w:rPr>
              <w:t>《绿色产品评价造板和木质地板》；2.面材：饰面采用ENF级三聚氰胺板饰面，环保等级ENF级，甲醛释放量未检出，产品总挥发性有机化合物(TVOC)释放率(72h)未检出，木材含水率3%-13%，2h吸水膨胀率≤3.3%，耐磨，耐划痕，耐冷热循环，耐污染腐蚀；符合GB/T 39600-2021《人造板及其制品甲醛释放量分级》、GB/T 15102-2017《浸渍胶膜纸饰面纤维板和刨花板》、GB/T 35601-</w:t>
            </w:r>
            <w:r>
              <w:rPr>
                <w:rFonts w:hint="eastAsia" w:ascii="宋体" w:hAnsi="宋体" w:cs="宋体"/>
                <w:kern w:val="0"/>
                <w:sz w:val="21"/>
                <w:szCs w:val="21"/>
                <w:lang w:val="en-US" w:eastAsia="zh-CN" w:bidi="ar"/>
              </w:rPr>
              <w:t>2024</w:t>
            </w:r>
            <w:r>
              <w:rPr>
                <w:rFonts w:hint="eastAsia" w:ascii="宋体" w:hAnsi="宋体" w:cs="宋体"/>
                <w:kern w:val="0"/>
                <w:sz w:val="21"/>
                <w:szCs w:val="21"/>
                <w:lang w:bidi="ar"/>
              </w:rPr>
              <w:t>《绿色产品评价 人造板和木质地板》；3.封边：采用PVC封边，封边厚度≥</w:t>
            </w:r>
            <w:r>
              <w:rPr>
                <w:rFonts w:hint="eastAsia" w:ascii="宋体" w:hAnsi="宋体" w:cs="宋体"/>
                <w:kern w:val="0"/>
                <w:sz w:val="21"/>
                <w:szCs w:val="21"/>
                <w:lang w:val="en-US" w:eastAsia="zh-CN" w:bidi="ar"/>
              </w:rPr>
              <w:t>1.8</w:t>
            </w:r>
            <w:r>
              <w:rPr>
                <w:rFonts w:hint="eastAsia" w:ascii="宋体" w:hAnsi="宋体" w:cs="宋体"/>
                <w:kern w:val="0"/>
                <w:sz w:val="21"/>
                <w:szCs w:val="21"/>
                <w:lang w:bidi="ar"/>
              </w:rPr>
              <w:t>mm，耐龟裂性≥5级，耐光色牢度≥4级，甲醛释放量未检出；符合QB/T4463-</w:t>
            </w:r>
            <w:r>
              <w:rPr>
                <w:rFonts w:hint="eastAsia" w:ascii="宋体" w:hAnsi="宋体" w:cs="宋体"/>
                <w:kern w:val="0"/>
                <w:sz w:val="21"/>
                <w:szCs w:val="21"/>
                <w:lang w:val="en-US" w:eastAsia="zh-CN" w:bidi="ar"/>
              </w:rPr>
              <w:t>2025</w:t>
            </w:r>
            <w:r>
              <w:rPr>
                <w:rFonts w:hint="eastAsia" w:ascii="宋体" w:hAnsi="宋体" w:cs="宋体"/>
                <w:kern w:val="0"/>
                <w:sz w:val="21"/>
                <w:szCs w:val="21"/>
                <w:lang w:bidi="ar"/>
              </w:rPr>
              <w:t>家具用封边条技术要求；4.桌架：采用铝型材脚架，无裂痕、无伤痕；采用去油、去锈及喷塑处理工艺，外观光彩一致，塑面平均光滑、无划伤；5.五金：采用优质连接件，金属涂层耐腐蚀中性盐雾试验、乙酸盐雾试验均达到10级，符合GB/T28203-2011家具用连接件技术要求及试验方法。6.配置：板式前挡板，钢制书网。</w:t>
            </w:r>
          </w:p>
        </w:tc>
        <w:tc>
          <w:tcPr>
            <w:tcW w:w="709" w:type="dxa"/>
            <w:vAlign w:val="center"/>
          </w:tcPr>
          <w:p w14:paraId="3E9F20FD">
            <w:pPr>
              <w:widowControl/>
              <w:jc w:val="center"/>
              <w:textAlignment w:val="center"/>
              <w:rPr>
                <w:rFonts w:hint="eastAsia" w:ascii="宋体" w:hAnsi="宋体"/>
                <w:bCs/>
                <w:kern w:val="0"/>
                <w:sz w:val="24"/>
              </w:rPr>
            </w:pPr>
            <w:r>
              <w:rPr>
                <w:rFonts w:hint="eastAsia" w:ascii="宋体" w:hAnsi="宋体" w:cs="宋体"/>
                <w:kern w:val="0"/>
                <w:sz w:val="20"/>
                <w:szCs w:val="20"/>
                <w:lang w:bidi="ar"/>
              </w:rPr>
              <w:t>件</w:t>
            </w:r>
          </w:p>
        </w:tc>
        <w:tc>
          <w:tcPr>
            <w:tcW w:w="850" w:type="dxa"/>
            <w:vAlign w:val="center"/>
          </w:tcPr>
          <w:p w14:paraId="45E728DC">
            <w:pPr>
              <w:widowControl/>
              <w:jc w:val="center"/>
              <w:textAlignment w:val="center"/>
              <w:rPr>
                <w:rFonts w:hint="eastAsia" w:ascii="宋体" w:hAnsi="宋体"/>
                <w:bCs/>
                <w:kern w:val="0"/>
                <w:sz w:val="24"/>
              </w:rPr>
            </w:pPr>
            <w:r>
              <w:rPr>
                <w:rFonts w:hint="eastAsia" w:ascii="宋体" w:hAnsi="宋体" w:cs="宋体"/>
                <w:kern w:val="0"/>
                <w:sz w:val="20"/>
                <w:szCs w:val="20"/>
                <w:lang w:bidi="ar"/>
              </w:rPr>
              <w:t>24</w:t>
            </w:r>
          </w:p>
        </w:tc>
      </w:tr>
      <w:tr w14:paraId="36499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14:paraId="5FD41440">
            <w:pPr>
              <w:widowControl/>
              <w:jc w:val="center"/>
              <w:textAlignment w:val="center"/>
              <w:rPr>
                <w:rFonts w:hint="eastAsia" w:ascii="宋体" w:hAnsi="宋体"/>
                <w:bCs/>
                <w:kern w:val="0"/>
                <w:sz w:val="24"/>
              </w:rPr>
            </w:pPr>
            <w:r>
              <w:rPr>
                <w:rFonts w:hint="eastAsia" w:ascii="宋体" w:hAnsi="宋体" w:cs="宋体"/>
                <w:kern w:val="0"/>
                <w:sz w:val="24"/>
                <w:lang w:bidi="ar"/>
              </w:rPr>
              <w:t>5</w:t>
            </w:r>
          </w:p>
        </w:tc>
        <w:tc>
          <w:tcPr>
            <w:tcW w:w="1313" w:type="dxa"/>
            <w:vAlign w:val="center"/>
          </w:tcPr>
          <w:p w14:paraId="791CB221">
            <w:pPr>
              <w:widowControl/>
              <w:jc w:val="center"/>
              <w:textAlignment w:val="center"/>
              <w:rPr>
                <w:rFonts w:hint="eastAsia" w:ascii="宋体" w:hAnsi="宋体"/>
                <w:bCs/>
                <w:kern w:val="0"/>
                <w:sz w:val="24"/>
              </w:rPr>
            </w:pPr>
            <w:r>
              <w:rPr>
                <w:rFonts w:hint="eastAsia" w:ascii="宋体" w:hAnsi="宋体" w:cs="宋体"/>
                <w:kern w:val="0"/>
                <w:sz w:val="20"/>
                <w:szCs w:val="20"/>
                <w:lang w:bidi="ar"/>
              </w:rPr>
              <w:t>会议桌</w:t>
            </w:r>
          </w:p>
        </w:tc>
        <w:tc>
          <w:tcPr>
            <w:tcW w:w="1248" w:type="dxa"/>
            <w:vAlign w:val="center"/>
          </w:tcPr>
          <w:p w14:paraId="6CD4493C">
            <w:pPr>
              <w:widowControl/>
              <w:jc w:val="center"/>
              <w:textAlignment w:val="center"/>
              <w:rPr>
                <w:rFonts w:hint="eastAsia" w:ascii="宋体" w:hAnsi="宋体"/>
                <w:bCs/>
                <w:kern w:val="0"/>
                <w:sz w:val="24"/>
              </w:rPr>
            </w:pPr>
            <w:r>
              <w:rPr>
                <w:rFonts w:hint="eastAsia" w:ascii="宋体" w:hAnsi="宋体" w:cs="宋体"/>
                <w:kern w:val="0"/>
                <w:sz w:val="20"/>
                <w:szCs w:val="20"/>
                <w:lang w:bidi="ar"/>
              </w:rPr>
              <w:t>10000*2400*760</w:t>
            </w:r>
          </w:p>
        </w:tc>
        <w:tc>
          <w:tcPr>
            <w:tcW w:w="3685" w:type="dxa"/>
            <w:vAlign w:val="center"/>
          </w:tcPr>
          <w:p w14:paraId="64612E54">
            <w:pPr>
              <w:widowControl/>
              <w:jc w:val="left"/>
              <w:textAlignment w:val="center"/>
              <w:rPr>
                <w:rFonts w:hint="eastAsia" w:ascii="宋体" w:hAnsi="宋体" w:cs="宋体"/>
                <w:kern w:val="0"/>
                <w:sz w:val="21"/>
                <w:szCs w:val="21"/>
                <w:lang w:bidi="ar"/>
              </w:rPr>
            </w:pPr>
            <w:r>
              <w:rPr>
                <w:rFonts w:ascii="宋体" w:hAnsi="宋体" w:cs="仿宋_GB2312"/>
                <w:kern w:val="0"/>
                <w:sz w:val="21"/>
                <w:szCs w:val="21"/>
                <w:lang w:bidi="ar"/>
              </w:rPr>
              <w:t>1、基材：采用ENF级优质环保中密度纤维板，符合</w:t>
            </w:r>
            <w:r>
              <w:rPr>
                <w:rFonts w:hint="eastAsia" w:ascii="宋体" w:hAnsi="宋体" w:cs="仿宋_GB2312"/>
                <w:kern w:val="0"/>
                <w:sz w:val="21"/>
                <w:szCs w:val="21"/>
                <w:lang w:eastAsia="zh-CN" w:bidi="ar"/>
              </w:rPr>
              <w:t>GB/T3324-2024</w:t>
            </w:r>
            <w:r>
              <w:rPr>
                <w:rFonts w:ascii="宋体" w:hAnsi="宋体" w:cs="仿宋_GB2312"/>
                <w:kern w:val="0"/>
                <w:sz w:val="21"/>
                <w:szCs w:val="21"/>
                <w:lang w:bidi="ar"/>
              </w:rPr>
              <w:t>《木家具通用技术条件》，符合 GB/T 11718-2021《中密度纤维板》、GB/T 17657-2022《人造板及饰面人造 板理化性能试验方法》、</w:t>
            </w:r>
            <w:r>
              <w:rPr>
                <w:rFonts w:hint="eastAsia" w:ascii="宋体" w:hAnsi="宋体" w:cs="仿宋_GB2312"/>
                <w:kern w:val="0"/>
                <w:sz w:val="21"/>
                <w:szCs w:val="21"/>
                <w:lang w:eastAsia="zh-CN" w:bidi="ar"/>
              </w:rPr>
              <w:t>GB/T 35601-2024</w:t>
            </w:r>
            <w:r>
              <w:rPr>
                <w:rFonts w:ascii="宋体" w:hAnsi="宋体" w:cs="仿宋_GB2312"/>
                <w:kern w:val="0"/>
                <w:sz w:val="21"/>
                <w:szCs w:val="21"/>
                <w:lang w:bidi="ar"/>
              </w:rPr>
              <w:t xml:space="preserve"> 《绿色产品评价 人造板和木质地板》、GB 18584-2001 《室内装饰装修材料 木家具中有害物质限量》、GB18580-2017《室内装饰装修材料人造板及其制品中甲醛释放限量》、GB/T20284-2006《建筑材料或制品的单体燃烧试验》、</w:t>
            </w:r>
            <w:r>
              <w:rPr>
                <w:rFonts w:hint="eastAsia" w:ascii="宋体" w:hAnsi="宋体" w:cs="仿宋_GB2312"/>
                <w:kern w:val="0"/>
                <w:sz w:val="21"/>
                <w:szCs w:val="21"/>
                <w:lang w:eastAsia="zh-CN" w:bidi="ar"/>
              </w:rPr>
              <w:t>GB/T8626-2025</w:t>
            </w:r>
            <w:r>
              <w:rPr>
                <w:rFonts w:ascii="宋体" w:hAnsi="宋体" w:cs="仿宋_GB2312"/>
                <w:kern w:val="0"/>
                <w:sz w:val="21"/>
                <w:szCs w:val="21"/>
                <w:lang w:bidi="ar"/>
              </w:rPr>
              <w:t>《建筑材料可燃性试验方法》，</w:t>
            </w:r>
            <w:r>
              <w:rPr>
                <w:rFonts w:hint="eastAsia" w:ascii="宋体" w:hAnsi="宋体" w:cs="宋体"/>
                <w:kern w:val="0"/>
                <w:sz w:val="21"/>
                <w:szCs w:val="21"/>
                <w:lang w:bidi="ar"/>
              </w:rPr>
              <w:t>其中板内密度偏差检测在±1.0% 之内，密度0.76g/cm³，含水率4.1%，静曲强度24.4MPa，弹性模量3000MPa， 内胶合强度0.70MPa，表面胶合强度1.26MPa，吸水厚度膨胀率5.0%。</w:t>
            </w:r>
            <w:r>
              <w:rPr>
                <w:rFonts w:ascii="宋体" w:hAnsi="宋体" w:cs="仿宋_GB2312"/>
                <w:kern w:val="0"/>
                <w:sz w:val="21"/>
                <w:szCs w:val="21"/>
                <w:lang w:bidi="ar"/>
              </w:rPr>
              <w:t>。总挥发性有机物(TVOC)未检出。苯、甲苯、二甲苯未检出。甲醛释放量甲醛释放量</w:t>
            </w:r>
            <w:r>
              <w:rPr>
                <w:rFonts w:hint="eastAsia" w:ascii="宋体" w:hAnsi="宋体" w:cs="仿宋_GB2312"/>
                <w:kern w:val="0"/>
                <w:sz w:val="21"/>
                <w:szCs w:val="21"/>
                <w:lang w:bidi="ar"/>
              </w:rPr>
              <w:t>未检出。</w:t>
            </w:r>
            <w:r>
              <w:rPr>
                <w:rFonts w:ascii="宋体" w:hAnsi="宋体" w:cs="仿宋_GB2312"/>
                <w:kern w:val="0"/>
                <w:sz w:val="21"/>
                <w:szCs w:val="21"/>
                <w:lang w:bidi="ar"/>
              </w:rPr>
              <w:t>面材：采用0.6mm厚天然胡桃木皮饰面，符合GB/T29894-2013木材鉴别方法通则 GB/T1931-2009木材含水率测试方法GB/T17657-2022人造板及饰面人造板理化性能实验方法 GB/T13010-2020刨切单板 标准，木材含水率8%，甲醛释放量未检出，木皮纹理清晰自然、色泽一致、表面平整光滑、耐磨性好，且经防虫防腐处理。3、封边：四周显露部位使用与木皮材质一致的实木封边，厚度</w:t>
            </w:r>
            <w:r>
              <w:rPr>
                <w:rFonts w:hint="eastAsia" w:ascii="宋体" w:hAnsi="宋体" w:cs="仿宋_GB2312"/>
                <w:kern w:val="0"/>
                <w:sz w:val="21"/>
                <w:szCs w:val="21"/>
                <w:lang w:val="en-US" w:eastAsia="zh-CN" w:bidi="ar"/>
              </w:rPr>
              <w:t>0.6</w:t>
            </w:r>
            <w:r>
              <w:rPr>
                <w:rFonts w:ascii="宋体" w:hAnsi="宋体" w:cs="仿宋_GB2312"/>
                <w:kern w:val="0"/>
                <w:sz w:val="21"/>
                <w:szCs w:val="21"/>
                <w:lang w:bidi="ar"/>
              </w:rPr>
              <w:t>mm。4、油漆：采用环保水性底漆、水性面漆涂饰,保证漆面的光泽度、耐磨性、硬度（擦伤）达到行业标准，各项指标符合国际环保要求。5底3面工艺，依据GB/T 23999-2009《室内装饰装修用水性木器涂料》、GB18581-2020《木器涂料中有害物质限量》、HJ2537-2014《环境标志产品技术要求水性涂料》、GB/T21866-2008《抗菌涂料(漆膜)抗菌性测定法和抗菌效果》，其中VOC含量(涂料)、苯、甲苯、二甲苯、乙苯的总量未检出，苯系物总和含量未检出，游离甲醛未检出。5、</w:t>
            </w:r>
            <w:r>
              <w:rPr>
                <w:rFonts w:hint="eastAsia" w:ascii="宋体" w:hAnsi="宋体" w:eastAsia="宋体" w:cs="宋体"/>
                <w:i w:val="0"/>
                <w:iCs w:val="0"/>
                <w:color w:val="000000"/>
                <w:kern w:val="0"/>
                <w:sz w:val="21"/>
                <w:szCs w:val="21"/>
                <w:u w:val="none"/>
                <w:lang w:val="en-US" w:eastAsia="zh-CN" w:bidi="ar"/>
              </w:rPr>
              <w:t>五金配件：连接件，配尼龙脚垫。</w:t>
            </w:r>
            <w:r>
              <w:rPr>
                <w:rFonts w:ascii="宋体" w:hAnsi="宋体" w:cs="仿宋_GB2312"/>
                <w:kern w:val="0"/>
                <w:sz w:val="21"/>
                <w:szCs w:val="21"/>
                <w:lang w:bidi="ar"/>
              </w:rPr>
              <w:t>。6、工艺：人造板部件全部双饰面、封四边，走线孔内缘和隐蔽部位全部封边或密封处理，板两面双贴木皮，实木封边，两面均衡油饰。</w:t>
            </w:r>
          </w:p>
        </w:tc>
        <w:tc>
          <w:tcPr>
            <w:tcW w:w="709" w:type="dxa"/>
            <w:vAlign w:val="center"/>
          </w:tcPr>
          <w:p w14:paraId="413A5B33">
            <w:pPr>
              <w:widowControl/>
              <w:jc w:val="center"/>
              <w:textAlignment w:val="center"/>
              <w:rPr>
                <w:rFonts w:hint="eastAsia" w:ascii="宋体" w:hAnsi="宋体"/>
                <w:bCs/>
                <w:kern w:val="0"/>
                <w:sz w:val="24"/>
              </w:rPr>
            </w:pPr>
            <w:r>
              <w:rPr>
                <w:rFonts w:hint="eastAsia" w:ascii="宋体" w:hAnsi="宋体" w:cs="宋体"/>
                <w:kern w:val="0"/>
                <w:sz w:val="20"/>
                <w:szCs w:val="20"/>
                <w:lang w:bidi="ar"/>
              </w:rPr>
              <w:t>件</w:t>
            </w:r>
          </w:p>
        </w:tc>
        <w:tc>
          <w:tcPr>
            <w:tcW w:w="850" w:type="dxa"/>
            <w:vAlign w:val="center"/>
          </w:tcPr>
          <w:p w14:paraId="19F9CBEC">
            <w:pPr>
              <w:widowControl/>
              <w:jc w:val="center"/>
              <w:textAlignment w:val="center"/>
              <w:rPr>
                <w:rFonts w:hint="eastAsia" w:ascii="宋体" w:hAnsi="宋体"/>
                <w:bCs/>
                <w:kern w:val="0"/>
                <w:sz w:val="24"/>
              </w:rPr>
            </w:pPr>
            <w:r>
              <w:rPr>
                <w:rFonts w:hint="eastAsia" w:ascii="宋体" w:hAnsi="宋体" w:cs="宋体"/>
                <w:kern w:val="0"/>
                <w:sz w:val="20"/>
                <w:szCs w:val="20"/>
                <w:lang w:bidi="ar"/>
              </w:rPr>
              <w:t>1</w:t>
            </w:r>
          </w:p>
        </w:tc>
      </w:tr>
      <w:tr w14:paraId="7282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14:paraId="2E1B60DC">
            <w:pPr>
              <w:widowControl/>
              <w:jc w:val="center"/>
              <w:textAlignment w:val="center"/>
              <w:rPr>
                <w:rFonts w:hint="eastAsia" w:ascii="宋体" w:hAnsi="宋体"/>
                <w:bCs/>
                <w:kern w:val="0"/>
                <w:sz w:val="24"/>
              </w:rPr>
            </w:pPr>
            <w:r>
              <w:rPr>
                <w:rFonts w:hint="eastAsia" w:ascii="宋体" w:hAnsi="宋体" w:cs="宋体"/>
                <w:kern w:val="0"/>
                <w:sz w:val="24"/>
                <w:lang w:bidi="ar"/>
              </w:rPr>
              <w:t>6</w:t>
            </w:r>
          </w:p>
        </w:tc>
        <w:tc>
          <w:tcPr>
            <w:tcW w:w="1313" w:type="dxa"/>
            <w:vAlign w:val="center"/>
          </w:tcPr>
          <w:p w14:paraId="6769616D">
            <w:pPr>
              <w:widowControl/>
              <w:jc w:val="center"/>
              <w:textAlignment w:val="center"/>
              <w:rPr>
                <w:rFonts w:hint="eastAsia" w:ascii="宋体" w:hAnsi="宋体"/>
                <w:bCs/>
                <w:kern w:val="0"/>
                <w:sz w:val="24"/>
              </w:rPr>
            </w:pPr>
            <w:r>
              <w:rPr>
                <w:rFonts w:hint="eastAsia" w:ascii="宋体" w:hAnsi="宋体" w:cs="宋体"/>
                <w:kern w:val="0"/>
                <w:sz w:val="20"/>
                <w:szCs w:val="20"/>
                <w:lang w:bidi="ar"/>
              </w:rPr>
              <w:t>会议椅</w:t>
            </w:r>
          </w:p>
        </w:tc>
        <w:tc>
          <w:tcPr>
            <w:tcW w:w="1248" w:type="dxa"/>
            <w:vAlign w:val="center"/>
          </w:tcPr>
          <w:p w14:paraId="307B962D">
            <w:pPr>
              <w:widowControl/>
              <w:jc w:val="center"/>
              <w:textAlignment w:val="center"/>
              <w:rPr>
                <w:rFonts w:hint="eastAsia" w:ascii="宋体" w:hAnsi="宋体"/>
                <w:bCs/>
                <w:kern w:val="0"/>
                <w:sz w:val="24"/>
              </w:rPr>
            </w:pPr>
            <w:r>
              <w:rPr>
                <w:rFonts w:hint="eastAsia" w:ascii="宋体" w:hAnsi="宋体" w:cs="宋体"/>
                <w:kern w:val="0"/>
                <w:sz w:val="20"/>
                <w:szCs w:val="20"/>
                <w:lang w:bidi="ar"/>
              </w:rPr>
              <w:t>标准</w:t>
            </w:r>
          </w:p>
        </w:tc>
        <w:tc>
          <w:tcPr>
            <w:tcW w:w="3685" w:type="dxa"/>
            <w:vAlign w:val="center"/>
          </w:tcPr>
          <w:p w14:paraId="2B6626AF">
            <w:pPr>
              <w:widowControl/>
              <w:jc w:val="left"/>
              <w:textAlignment w:val="center"/>
              <w:rPr>
                <w:rFonts w:hint="eastAsia" w:ascii="宋体" w:hAnsi="宋体" w:cs="宋体"/>
                <w:kern w:val="0"/>
                <w:sz w:val="21"/>
                <w:szCs w:val="21"/>
                <w:lang w:bidi="ar"/>
              </w:rPr>
            </w:pPr>
            <w:r>
              <w:rPr>
                <w:rFonts w:hint="eastAsia" w:ascii="宋体" w:hAnsi="宋体" w:cs="宋体"/>
                <w:kern w:val="0"/>
                <w:sz w:val="21"/>
                <w:szCs w:val="21"/>
                <w:lang w:bidi="ar"/>
              </w:rPr>
              <w:t xml:space="preserve">1.面料: </w:t>
            </w:r>
            <w:r>
              <w:rPr>
                <w:rFonts w:hint="eastAsia" w:ascii="宋体" w:hAnsi="宋体" w:eastAsia="宋体" w:cs="宋体"/>
                <w:i w:val="0"/>
                <w:iCs w:val="0"/>
                <w:color w:val="000000"/>
                <w:kern w:val="0"/>
                <w:sz w:val="21"/>
                <w:szCs w:val="21"/>
                <w:u w:val="none"/>
                <w:lang w:val="en-US" w:eastAsia="zh-CN" w:bidi="ar"/>
              </w:rPr>
              <w:t>一级牛皮覆面</w:t>
            </w:r>
            <w:r>
              <w:rPr>
                <w:rFonts w:hint="eastAsia" w:ascii="宋体" w:hAnsi="宋体" w:cs="宋体"/>
                <w:kern w:val="0"/>
                <w:sz w:val="21"/>
                <w:szCs w:val="21"/>
                <w:lang w:bidi="ar"/>
              </w:rPr>
              <w:t>，</w:t>
            </w:r>
            <w:r>
              <w:rPr>
                <w:rFonts w:hint="eastAsia" w:ascii="宋体" w:hAnsi="宋体" w:eastAsia="宋体" w:cs="宋体"/>
                <w:i w:val="0"/>
                <w:iCs w:val="0"/>
                <w:color w:val="000000"/>
                <w:kern w:val="0"/>
                <w:sz w:val="21"/>
                <w:szCs w:val="21"/>
                <w:u w:val="none"/>
                <w:lang w:val="en-US" w:eastAsia="zh-CN" w:bidi="ar"/>
              </w:rPr>
              <w:t>厚度≥0.8mm</w:t>
            </w:r>
            <w:r>
              <w:rPr>
                <w:rFonts w:hint="eastAsia" w:ascii="宋体" w:hAnsi="宋体" w:cs="宋体"/>
                <w:kern w:val="0"/>
                <w:sz w:val="21"/>
                <w:szCs w:val="21"/>
                <w:lang w:bidi="ar"/>
              </w:rPr>
              <w:t>，摩擦色牢度4-5级，耐折牢度（50000次）无裂纹，撕裂力≥110N，游离甲醛未检出，挥发性有机物(VOC)未检出，符合GB20400-2006《皮革和皮毛有害物质限量》、GB/T 16799-2018《家具用皮革》；2.海绵:采用聚氨酯冷发泡高回弹海绵，回弹率≥50%，75%压缩永久变形≤4.7%，拉伸强度≥105kPa，撕裂强度≥2.5N/cm，软质聚氨酯泡沫塑料座面密度≥40kg/m²，TVOC≤0.05mg/m²h，甲醛释放量≤0.005mg/m²h，表面有保护面,可防氧化,防碎；符合GB17927.2-2011软体家具床垫和沙发抗引燃特性的评定第2部分：模拟火柴火焰、GB/T 10802-2023通用软质聚氨酯泡沫塑料、QB/T2280-2016办公家具办公椅；3.椅架扶手：采用实木扶手，水性环保油漆工艺，挥发性有机化合物(VOC)未检出，甲醛含量未检出，面漆耐干热性无变化1级，苯、甲苯、二甲苯、乙苯的总量未检出，丰满度好、附着力强、硬度高、耐磨、涂层亮度均匀不褪色；经无尘五底三面八道循环工艺处理，符合HJ2537-2014环境标志产品技术要求水性涂料；GB/T23999-2009室内装饰装修水性木器涂料；GB18581-2020器涂料中害物质限量；</w:t>
            </w:r>
          </w:p>
        </w:tc>
        <w:tc>
          <w:tcPr>
            <w:tcW w:w="709" w:type="dxa"/>
            <w:vAlign w:val="center"/>
          </w:tcPr>
          <w:p w14:paraId="04CC71C7">
            <w:pPr>
              <w:widowControl/>
              <w:jc w:val="center"/>
              <w:textAlignment w:val="center"/>
              <w:rPr>
                <w:rFonts w:hint="eastAsia" w:ascii="宋体" w:hAnsi="宋体"/>
                <w:bCs/>
                <w:kern w:val="0"/>
                <w:sz w:val="24"/>
              </w:rPr>
            </w:pPr>
            <w:r>
              <w:rPr>
                <w:rFonts w:hint="eastAsia" w:ascii="宋体" w:hAnsi="宋体" w:cs="宋体"/>
                <w:kern w:val="0"/>
                <w:sz w:val="20"/>
                <w:szCs w:val="20"/>
                <w:lang w:bidi="ar"/>
              </w:rPr>
              <w:t>件</w:t>
            </w:r>
          </w:p>
        </w:tc>
        <w:tc>
          <w:tcPr>
            <w:tcW w:w="850" w:type="dxa"/>
            <w:vAlign w:val="center"/>
          </w:tcPr>
          <w:p w14:paraId="625BCA58">
            <w:pPr>
              <w:widowControl/>
              <w:jc w:val="center"/>
              <w:textAlignment w:val="center"/>
              <w:rPr>
                <w:rFonts w:hint="eastAsia" w:ascii="宋体" w:hAnsi="宋体"/>
                <w:bCs/>
                <w:kern w:val="0"/>
                <w:sz w:val="24"/>
              </w:rPr>
            </w:pPr>
            <w:r>
              <w:rPr>
                <w:rFonts w:hint="eastAsia" w:ascii="宋体" w:hAnsi="宋体" w:cs="宋体"/>
                <w:kern w:val="0"/>
                <w:sz w:val="20"/>
                <w:szCs w:val="20"/>
                <w:lang w:bidi="ar"/>
              </w:rPr>
              <w:t>54</w:t>
            </w:r>
          </w:p>
        </w:tc>
      </w:tr>
      <w:tr w14:paraId="3D8BB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14:paraId="635C3B3F">
            <w:pPr>
              <w:widowControl/>
              <w:jc w:val="center"/>
              <w:textAlignment w:val="center"/>
              <w:rPr>
                <w:rFonts w:hint="eastAsia" w:ascii="宋体" w:hAnsi="宋体"/>
                <w:bCs/>
                <w:kern w:val="0"/>
                <w:sz w:val="24"/>
              </w:rPr>
            </w:pPr>
            <w:r>
              <w:rPr>
                <w:rFonts w:hint="eastAsia" w:ascii="宋体" w:hAnsi="宋体" w:cs="宋体"/>
                <w:kern w:val="0"/>
                <w:sz w:val="24"/>
                <w:lang w:bidi="ar"/>
              </w:rPr>
              <w:t>7</w:t>
            </w:r>
          </w:p>
        </w:tc>
        <w:tc>
          <w:tcPr>
            <w:tcW w:w="1313" w:type="dxa"/>
            <w:vAlign w:val="center"/>
          </w:tcPr>
          <w:p w14:paraId="2A1B78C8">
            <w:pPr>
              <w:widowControl/>
              <w:jc w:val="center"/>
              <w:textAlignment w:val="center"/>
              <w:rPr>
                <w:rFonts w:hint="eastAsia" w:ascii="宋体" w:hAnsi="宋体"/>
                <w:bCs/>
                <w:kern w:val="0"/>
                <w:sz w:val="24"/>
              </w:rPr>
            </w:pPr>
            <w:r>
              <w:rPr>
                <w:rFonts w:hint="eastAsia" w:ascii="宋体" w:hAnsi="宋体" w:cs="宋体"/>
                <w:kern w:val="0"/>
                <w:sz w:val="20"/>
                <w:szCs w:val="20"/>
                <w:lang w:bidi="ar"/>
              </w:rPr>
              <w:t>茶水柜</w:t>
            </w:r>
          </w:p>
        </w:tc>
        <w:tc>
          <w:tcPr>
            <w:tcW w:w="1248" w:type="dxa"/>
            <w:vAlign w:val="center"/>
          </w:tcPr>
          <w:p w14:paraId="3F450CC4">
            <w:pPr>
              <w:widowControl/>
              <w:jc w:val="center"/>
              <w:textAlignment w:val="center"/>
              <w:rPr>
                <w:rFonts w:hint="eastAsia" w:ascii="宋体" w:hAnsi="宋体"/>
                <w:bCs/>
                <w:kern w:val="0"/>
                <w:sz w:val="24"/>
              </w:rPr>
            </w:pPr>
            <w:r>
              <w:rPr>
                <w:rFonts w:hint="eastAsia" w:ascii="宋体" w:hAnsi="宋体" w:cs="宋体"/>
                <w:kern w:val="0"/>
                <w:sz w:val="20"/>
                <w:szCs w:val="20"/>
                <w:lang w:bidi="ar"/>
              </w:rPr>
              <w:t>1200*400*900</w:t>
            </w:r>
          </w:p>
        </w:tc>
        <w:tc>
          <w:tcPr>
            <w:tcW w:w="3685" w:type="dxa"/>
            <w:vAlign w:val="center"/>
          </w:tcPr>
          <w:p w14:paraId="53252BD2">
            <w:pPr>
              <w:widowControl/>
              <w:jc w:val="left"/>
              <w:textAlignment w:val="center"/>
              <w:rPr>
                <w:rFonts w:hint="eastAsia" w:ascii="宋体" w:hAnsi="宋体" w:cs="宋体"/>
                <w:kern w:val="0"/>
                <w:sz w:val="21"/>
                <w:szCs w:val="21"/>
                <w:lang w:bidi="ar"/>
              </w:rPr>
            </w:pPr>
            <w:r>
              <w:rPr>
                <w:rFonts w:ascii="宋体" w:hAnsi="宋体" w:cs="仿宋_GB2312"/>
                <w:kern w:val="0"/>
                <w:sz w:val="21"/>
                <w:szCs w:val="21"/>
                <w:lang w:bidi="ar"/>
              </w:rPr>
              <w:t>1、基材：采用ENF级优质环保中密度纤维板，符合</w:t>
            </w:r>
            <w:r>
              <w:rPr>
                <w:rFonts w:hint="eastAsia" w:ascii="宋体" w:hAnsi="宋体" w:cs="仿宋_GB2312"/>
                <w:kern w:val="0"/>
                <w:sz w:val="21"/>
                <w:szCs w:val="21"/>
                <w:lang w:eastAsia="zh-CN" w:bidi="ar"/>
              </w:rPr>
              <w:t>GB/T3324-2024</w:t>
            </w:r>
            <w:r>
              <w:rPr>
                <w:rFonts w:ascii="宋体" w:hAnsi="宋体" w:cs="仿宋_GB2312"/>
                <w:kern w:val="0"/>
                <w:sz w:val="21"/>
                <w:szCs w:val="21"/>
                <w:lang w:bidi="ar"/>
              </w:rPr>
              <w:t>《木家具通用技术条件》，符合 GB/T 11718-2021《中密度纤维板》、GB/T 17657-2022《人造板及饰面人造 板理化性能试验方法》、</w:t>
            </w:r>
            <w:r>
              <w:rPr>
                <w:rFonts w:hint="eastAsia" w:ascii="宋体" w:hAnsi="宋体" w:cs="仿宋_GB2312"/>
                <w:kern w:val="0"/>
                <w:sz w:val="21"/>
                <w:szCs w:val="21"/>
                <w:lang w:eastAsia="zh-CN" w:bidi="ar"/>
              </w:rPr>
              <w:t>GB/T 35601-2024</w:t>
            </w:r>
            <w:r>
              <w:rPr>
                <w:rFonts w:ascii="宋体" w:hAnsi="宋体" w:cs="仿宋_GB2312"/>
                <w:kern w:val="0"/>
                <w:sz w:val="21"/>
                <w:szCs w:val="21"/>
                <w:lang w:bidi="ar"/>
              </w:rPr>
              <w:t xml:space="preserve"> 《绿色产品评价 人造板和木质地板》、GB 18584-2001 《室内装饰装修材料 木家具中有害物质限量》、GB18580-2017《室内装饰装修材料人造板及其制品中甲醛释放限量》、GB/T20284-2006《建筑材料或制品的单体燃烧试验》、</w:t>
            </w:r>
            <w:r>
              <w:rPr>
                <w:rFonts w:hint="eastAsia" w:ascii="宋体" w:hAnsi="宋体" w:cs="仿宋_GB2312"/>
                <w:kern w:val="0"/>
                <w:sz w:val="21"/>
                <w:szCs w:val="21"/>
                <w:lang w:eastAsia="zh-CN" w:bidi="ar"/>
              </w:rPr>
              <w:t>GB/T8626-2025</w:t>
            </w:r>
            <w:r>
              <w:rPr>
                <w:rFonts w:ascii="宋体" w:hAnsi="宋体" w:cs="仿宋_GB2312"/>
                <w:kern w:val="0"/>
                <w:sz w:val="21"/>
                <w:szCs w:val="21"/>
                <w:lang w:bidi="ar"/>
              </w:rPr>
              <w:t>《建筑材料可燃性试验方法》，</w:t>
            </w:r>
            <w:r>
              <w:rPr>
                <w:rFonts w:hint="eastAsia" w:ascii="宋体" w:hAnsi="宋体" w:cs="宋体"/>
                <w:kern w:val="0"/>
                <w:sz w:val="21"/>
                <w:szCs w:val="21"/>
                <w:lang w:bidi="ar"/>
              </w:rPr>
              <w:t>其中板内密度偏差检测在±1.0% 之内，密度0.76g/cm³，含水率4.1%，静曲强度24.4MPa，弹性模量3000MPa， 内胶合强度0.70MPa，表面胶合强度1.26MPa，吸水厚度膨胀率5.0%。</w:t>
            </w:r>
            <w:r>
              <w:rPr>
                <w:rFonts w:ascii="宋体" w:hAnsi="宋体" w:cs="仿宋_GB2312"/>
                <w:kern w:val="0"/>
                <w:sz w:val="21"/>
                <w:szCs w:val="21"/>
                <w:lang w:bidi="ar"/>
              </w:rPr>
              <w:t>。总挥发性有机物(TVOC)未检出。苯、甲苯、二甲苯未检出。甲醛释放量甲醛释放量</w:t>
            </w:r>
            <w:r>
              <w:rPr>
                <w:rFonts w:hint="eastAsia" w:ascii="宋体" w:hAnsi="宋体" w:cs="仿宋_GB2312"/>
                <w:kern w:val="0"/>
                <w:sz w:val="21"/>
                <w:szCs w:val="21"/>
                <w:lang w:bidi="ar"/>
              </w:rPr>
              <w:t>未检出。</w:t>
            </w:r>
            <w:r>
              <w:rPr>
                <w:rFonts w:ascii="宋体" w:hAnsi="宋体" w:cs="仿宋_GB2312"/>
                <w:kern w:val="0"/>
                <w:sz w:val="21"/>
                <w:szCs w:val="21"/>
                <w:lang w:bidi="ar"/>
              </w:rPr>
              <w:t>2、面材：采用0.6mm厚天然胡桃木皮饰面，符合GB/T29894-2013木材鉴别方法通则 GB/T1931-2009木材含水率测试方法GB/T17657-2022人造板及饰面人造板理化性能实验方法 GB/T13010-2020刨切单板 标准，木材含水率8%，甲醛释放量未检出，木皮纹理清晰自然、色泽一致、表面平整光滑、耐磨性好，且经防虫防腐处理。3、封边：四周显露部位使用与木皮材质一致的实木封边，厚度</w:t>
            </w:r>
            <w:r>
              <w:rPr>
                <w:rFonts w:hint="eastAsia" w:ascii="宋体" w:hAnsi="宋体" w:cs="仿宋_GB2312"/>
                <w:kern w:val="0"/>
                <w:sz w:val="21"/>
                <w:szCs w:val="21"/>
                <w:lang w:val="en-US" w:eastAsia="zh-CN" w:bidi="ar"/>
              </w:rPr>
              <w:t>0.6</w:t>
            </w:r>
            <w:r>
              <w:rPr>
                <w:rFonts w:ascii="宋体" w:hAnsi="宋体" w:cs="仿宋_GB2312"/>
                <w:kern w:val="0"/>
                <w:sz w:val="21"/>
                <w:szCs w:val="21"/>
                <w:lang w:bidi="ar"/>
              </w:rPr>
              <w:t>mm。4、油漆：采用环保水性底漆、水性面漆涂饰,保证漆面的光泽度、耐磨性、硬度（擦伤）达到行业标准，各项指标符合国际环保要求。5底3面工艺，依据GB/T 23999-2009《室内装饰装修用水性木器涂料》、GB18581-2020《木器涂料中有害物质限量》、HJ2537-2014《环境标志产品技术要求水性涂料》、GB/T21866-</w:t>
            </w:r>
            <w:r>
              <w:rPr>
                <w:rFonts w:hint="eastAsia" w:ascii="宋体" w:hAnsi="宋体" w:cs="仿宋_GB2312"/>
                <w:kern w:val="0"/>
                <w:sz w:val="21"/>
                <w:szCs w:val="21"/>
                <w:lang w:val="en-US" w:eastAsia="zh-CN" w:bidi="ar"/>
              </w:rPr>
              <w:t>2025</w:t>
            </w:r>
            <w:r>
              <w:rPr>
                <w:rFonts w:ascii="宋体" w:hAnsi="宋体" w:cs="仿宋_GB2312"/>
                <w:kern w:val="0"/>
                <w:sz w:val="21"/>
                <w:szCs w:val="21"/>
                <w:lang w:bidi="ar"/>
              </w:rPr>
              <w:t>《抗菌涂料(漆膜)抗菌性测定法和抗菌效果》，其中VOC含量(涂料)、苯、甲苯、二甲苯、乙苯的总量未检出，苯系物总和含量未检出，游离甲醛未检出。5、五金件：</w:t>
            </w:r>
            <w:r>
              <w:rPr>
                <w:rFonts w:hint="eastAsia" w:ascii="宋体" w:hAnsi="宋体" w:eastAsia="宋体" w:cs="宋体"/>
                <w:i w:val="0"/>
                <w:iCs w:val="0"/>
                <w:color w:val="000000"/>
                <w:kern w:val="0"/>
                <w:sz w:val="21"/>
                <w:szCs w:val="21"/>
                <w:u w:val="none"/>
                <w:lang w:val="en-US" w:eastAsia="zh-CN" w:bidi="ar"/>
              </w:rPr>
              <w:t>阻尼铰链以及连接件，配尼龙脚垫</w:t>
            </w:r>
            <w:r>
              <w:rPr>
                <w:rFonts w:ascii="宋体" w:hAnsi="宋体" w:cs="仿宋_GB2312"/>
                <w:kern w:val="0"/>
                <w:sz w:val="21"/>
                <w:szCs w:val="21"/>
                <w:lang w:bidi="ar"/>
              </w:rPr>
              <w:t>。6、工艺：人造板部件全部双饰面、封四边，走线孔内缘和隐蔽部位全部封边或密封处理，板两面双贴木皮，实木封边，两面均衡油饰。</w:t>
            </w:r>
          </w:p>
        </w:tc>
        <w:tc>
          <w:tcPr>
            <w:tcW w:w="709" w:type="dxa"/>
            <w:vAlign w:val="center"/>
          </w:tcPr>
          <w:p w14:paraId="7C17C61E">
            <w:pPr>
              <w:widowControl/>
              <w:jc w:val="center"/>
              <w:textAlignment w:val="center"/>
              <w:rPr>
                <w:rFonts w:hint="eastAsia" w:ascii="宋体" w:hAnsi="宋体"/>
                <w:bCs/>
                <w:kern w:val="0"/>
                <w:sz w:val="24"/>
              </w:rPr>
            </w:pPr>
            <w:r>
              <w:rPr>
                <w:rFonts w:hint="eastAsia" w:ascii="宋体" w:hAnsi="宋体" w:cs="宋体"/>
                <w:kern w:val="0"/>
                <w:sz w:val="20"/>
                <w:szCs w:val="20"/>
                <w:lang w:bidi="ar"/>
              </w:rPr>
              <w:t>件</w:t>
            </w:r>
          </w:p>
        </w:tc>
        <w:tc>
          <w:tcPr>
            <w:tcW w:w="850" w:type="dxa"/>
            <w:vAlign w:val="center"/>
          </w:tcPr>
          <w:p w14:paraId="729F934D">
            <w:pPr>
              <w:widowControl/>
              <w:jc w:val="center"/>
              <w:textAlignment w:val="center"/>
              <w:rPr>
                <w:rFonts w:hint="eastAsia" w:ascii="宋体" w:hAnsi="宋体"/>
                <w:bCs/>
                <w:kern w:val="0"/>
                <w:sz w:val="24"/>
              </w:rPr>
            </w:pPr>
            <w:r>
              <w:rPr>
                <w:rFonts w:hint="eastAsia" w:ascii="宋体" w:hAnsi="宋体" w:cs="宋体"/>
                <w:kern w:val="0"/>
                <w:sz w:val="20"/>
                <w:szCs w:val="20"/>
                <w:lang w:bidi="ar"/>
              </w:rPr>
              <w:t>2</w:t>
            </w:r>
          </w:p>
        </w:tc>
      </w:tr>
      <w:tr w14:paraId="0BEE7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14:paraId="33A4BDB8">
            <w:pPr>
              <w:widowControl/>
              <w:jc w:val="center"/>
              <w:textAlignment w:val="center"/>
              <w:rPr>
                <w:rFonts w:hint="eastAsia" w:ascii="宋体" w:hAnsi="宋体"/>
                <w:bCs/>
                <w:kern w:val="0"/>
                <w:sz w:val="24"/>
              </w:rPr>
            </w:pPr>
            <w:r>
              <w:rPr>
                <w:rFonts w:hint="eastAsia" w:ascii="宋体" w:hAnsi="宋体" w:cs="宋体"/>
                <w:kern w:val="0"/>
                <w:sz w:val="24"/>
                <w:lang w:bidi="ar"/>
              </w:rPr>
              <w:t>8</w:t>
            </w:r>
          </w:p>
        </w:tc>
        <w:tc>
          <w:tcPr>
            <w:tcW w:w="1313" w:type="dxa"/>
            <w:vAlign w:val="center"/>
          </w:tcPr>
          <w:p w14:paraId="498FF8C1">
            <w:pPr>
              <w:widowControl/>
              <w:jc w:val="center"/>
              <w:textAlignment w:val="center"/>
              <w:rPr>
                <w:rFonts w:hint="eastAsia" w:ascii="宋体" w:hAnsi="宋体"/>
                <w:bCs/>
                <w:kern w:val="0"/>
                <w:sz w:val="24"/>
              </w:rPr>
            </w:pPr>
            <w:r>
              <w:rPr>
                <w:rFonts w:hint="eastAsia" w:ascii="宋体" w:hAnsi="宋体" w:cs="宋体"/>
                <w:kern w:val="0"/>
                <w:sz w:val="20"/>
                <w:szCs w:val="20"/>
                <w:lang w:bidi="ar"/>
              </w:rPr>
              <w:t>排椅</w:t>
            </w:r>
          </w:p>
        </w:tc>
        <w:tc>
          <w:tcPr>
            <w:tcW w:w="1248" w:type="dxa"/>
            <w:vAlign w:val="center"/>
          </w:tcPr>
          <w:p w14:paraId="2FC1BB4B">
            <w:pPr>
              <w:widowControl/>
              <w:jc w:val="center"/>
              <w:textAlignment w:val="center"/>
              <w:rPr>
                <w:rFonts w:hint="eastAsia" w:ascii="宋体" w:hAnsi="宋体"/>
                <w:bCs/>
                <w:kern w:val="0"/>
                <w:sz w:val="24"/>
              </w:rPr>
            </w:pPr>
            <w:r>
              <w:rPr>
                <w:rFonts w:hint="eastAsia" w:ascii="宋体" w:hAnsi="宋体" w:cs="宋体"/>
                <w:kern w:val="0"/>
                <w:sz w:val="20"/>
                <w:szCs w:val="20"/>
                <w:lang w:bidi="ar"/>
              </w:rPr>
              <w:t>中-中560</w:t>
            </w:r>
          </w:p>
        </w:tc>
        <w:tc>
          <w:tcPr>
            <w:tcW w:w="3685" w:type="dxa"/>
            <w:vAlign w:val="center"/>
          </w:tcPr>
          <w:p w14:paraId="7486B586">
            <w:pPr>
              <w:widowControl/>
              <w:jc w:val="left"/>
              <w:textAlignment w:val="center"/>
              <w:rPr>
                <w:rFonts w:hint="eastAsia" w:ascii="宋体" w:hAnsi="宋体" w:cs="宋体"/>
                <w:kern w:val="0"/>
                <w:sz w:val="21"/>
                <w:szCs w:val="21"/>
                <w:lang w:bidi="ar"/>
              </w:rPr>
            </w:pPr>
            <w:r>
              <w:rPr>
                <w:rFonts w:hint="eastAsia" w:ascii="宋体" w:hAnsi="宋体" w:cs="宋体"/>
                <w:kern w:val="0"/>
                <w:sz w:val="21"/>
                <w:szCs w:val="21"/>
                <w:lang w:bidi="ar"/>
              </w:rPr>
              <w:t>1.座椅基本中心距为560mm。2.下藏式写字板：写字板连接铝头、托板采用铝合金材料经模具一体压铸成型，表面环氧聚酯粉末静电喷涂；写字板面板采用ABS复合材料经模具一体注塑成型，写字板固定方式为机械原理高强度螺栓，使写字板连接部位越用越结实，不会出现松弛现象，写字板打开回收时需带消音功能，不可有反弹力与噪音出现。3.面料采用高档麻绒、平绒，并经防静电、防蛀处理，手感舒适，长时间使用无皱褶、断裂、起球、褪色现象，4.扶手采用橡木实木，曲线造型，不变形、不开裂，表面环保水性油漆涂饰。7.座、背板采用实木多层板经模具压弯成型。下脚采用铝合金材料，铝合金扶手宽≥50mm。扶手抛光面采取带弧面设计，以保证产品的满饱美观性。8.海棉：采用高密度回弹定形发泡海棉。椅背海棉密度不小于45kg/m3，座海棉密度不小于50kg/m3。</w:t>
            </w:r>
          </w:p>
        </w:tc>
        <w:tc>
          <w:tcPr>
            <w:tcW w:w="709" w:type="dxa"/>
            <w:vAlign w:val="center"/>
          </w:tcPr>
          <w:p w14:paraId="04F0D29C">
            <w:pPr>
              <w:widowControl/>
              <w:jc w:val="center"/>
              <w:textAlignment w:val="center"/>
              <w:rPr>
                <w:rFonts w:hint="eastAsia" w:ascii="宋体" w:hAnsi="宋体"/>
                <w:bCs/>
                <w:kern w:val="0"/>
                <w:sz w:val="24"/>
              </w:rPr>
            </w:pPr>
            <w:r>
              <w:rPr>
                <w:rFonts w:hint="eastAsia" w:ascii="宋体" w:hAnsi="宋体" w:cs="宋体"/>
                <w:kern w:val="0"/>
                <w:sz w:val="20"/>
                <w:szCs w:val="20"/>
                <w:lang w:bidi="ar"/>
              </w:rPr>
              <w:t>件</w:t>
            </w:r>
          </w:p>
        </w:tc>
        <w:tc>
          <w:tcPr>
            <w:tcW w:w="850" w:type="dxa"/>
            <w:vAlign w:val="center"/>
          </w:tcPr>
          <w:p w14:paraId="090CF0DC">
            <w:pPr>
              <w:widowControl/>
              <w:jc w:val="center"/>
              <w:textAlignment w:val="center"/>
              <w:rPr>
                <w:rFonts w:hint="eastAsia" w:ascii="宋体" w:hAnsi="宋体"/>
                <w:bCs/>
                <w:kern w:val="0"/>
                <w:sz w:val="24"/>
              </w:rPr>
            </w:pPr>
            <w:r>
              <w:rPr>
                <w:rFonts w:hint="eastAsia" w:ascii="宋体" w:hAnsi="宋体" w:cs="宋体"/>
                <w:kern w:val="0"/>
                <w:sz w:val="20"/>
                <w:szCs w:val="20"/>
                <w:lang w:bidi="ar"/>
              </w:rPr>
              <w:t>782</w:t>
            </w:r>
          </w:p>
        </w:tc>
      </w:tr>
      <w:tr w14:paraId="07245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14:paraId="7FD82BE0">
            <w:pPr>
              <w:widowControl/>
              <w:jc w:val="center"/>
              <w:textAlignment w:val="center"/>
              <w:rPr>
                <w:rFonts w:hint="eastAsia" w:ascii="宋体" w:hAnsi="宋体"/>
                <w:bCs/>
                <w:kern w:val="0"/>
                <w:sz w:val="24"/>
              </w:rPr>
            </w:pPr>
            <w:r>
              <w:rPr>
                <w:rFonts w:hint="eastAsia" w:ascii="宋体" w:hAnsi="宋体" w:cs="宋体"/>
                <w:kern w:val="0"/>
                <w:sz w:val="24"/>
                <w:lang w:bidi="ar"/>
              </w:rPr>
              <w:t>9</w:t>
            </w:r>
          </w:p>
        </w:tc>
        <w:tc>
          <w:tcPr>
            <w:tcW w:w="1313" w:type="dxa"/>
            <w:vAlign w:val="center"/>
          </w:tcPr>
          <w:p w14:paraId="5EB7F528">
            <w:pPr>
              <w:widowControl/>
              <w:jc w:val="center"/>
              <w:textAlignment w:val="center"/>
              <w:rPr>
                <w:rFonts w:hint="eastAsia" w:ascii="宋体" w:hAnsi="宋体"/>
                <w:bCs/>
                <w:kern w:val="0"/>
                <w:sz w:val="24"/>
              </w:rPr>
            </w:pPr>
            <w:r>
              <w:rPr>
                <w:rFonts w:hint="eastAsia" w:ascii="宋体" w:hAnsi="宋体" w:cs="宋体"/>
                <w:kern w:val="0"/>
                <w:sz w:val="20"/>
                <w:szCs w:val="20"/>
                <w:lang w:bidi="ar"/>
              </w:rPr>
              <w:t>主席台桌</w:t>
            </w:r>
          </w:p>
        </w:tc>
        <w:tc>
          <w:tcPr>
            <w:tcW w:w="1248" w:type="dxa"/>
            <w:vAlign w:val="center"/>
          </w:tcPr>
          <w:p w14:paraId="62A89058">
            <w:pPr>
              <w:widowControl/>
              <w:jc w:val="center"/>
              <w:textAlignment w:val="center"/>
              <w:rPr>
                <w:rFonts w:hint="eastAsia" w:ascii="宋体" w:hAnsi="宋体"/>
                <w:bCs/>
                <w:kern w:val="0"/>
                <w:sz w:val="24"/>
              </w:rPr>
            </w:pPr>
            <w:r>
              <w:rPr>
                <w:rFonts w:hint="eastAsia" w:ascii="宋体" w:hAnsi="宋体" w:cs="宋体"/>
                <w:kern w:val="0"/>
                <w:sz w:val="20"/>
                <w:szCs w:val="20"/>
                <w:lang w:bidi="ar"/>
              </w:rPr>
              <w:t>1400*500*760</w:t>
            </w:r>
          </w:p>
        </w:tc>
        <w:tc>
          <w:tcPr>
            <w:tcW w:w="3685" w:type="dxa"/>
            <w:vAlign w:val="center"/>
          </w:tcPr>
          <w:p w14:paraId="69C0E23D">
            <w:pPr>
              <w:widowControl/>
              <w:jc w:val="left"/>
              <w:textAlignment w:val="center"/>
              <w:rPr>
                <w:rFonts w:hint="eastAsia" w:ascii="宋体" w:hAnsi="宋体" w:cs="宋体"/>
                <w:kern w:val="0"/>
                <w:sz w:val="21"/>
                <w:szCs w:val="21"/>
                <w:lang w:bidi="ar"/>
              </w:rPr>
            </w:pPr>
            <w:r>
              <w:rPr>
                <w:rFonts w:hint="eastAsia" w:ascii="宋体" w:hAnsi="宋体" w:cs="宋体"/>
                <w:kern w:val="0"/>
                <w:sz w:val="21"/>
                <w:szCs w:val="21"/>
                <w:lang w:bidi="ar"/>
              </w:rPr>
              <w:t>1、基材：采用ENF级优质环保中密度纤维板，符合</w:t>
            </w:r>
            <w:r>
              <w:rPr>
                <w:rFonts w:hint="eastAsia" w:ascii="宋体" w:hAnsi="宋体" w:cs="宋体"/>
                <w:kern w:val="0"/>
                <w:sz w:val="21"/>
                <w:szCs w:val="21"/>
                <w:lang w:eastAsia="zh-CN" w:bidi="ar"/>
              </w:rPr>
              <w:t>GB/T3324-2024</w:t>
            </w:r>
            <w:r>
              <w:rPr>
                <w:rFonts w:hint="eastAsia" w:ascii="宋体" w:hAnsi="宋体" w:cs="宋体"/>
                <w:kern w:val="0"/>
                <w:sz w:val="21"/>
                <w:szCs w:val="21"/>
                <w:lang w:bidi="ar"/>
              </w:rPr>
              <w:t>《木家具通用技术条件》，符合 GB/T 11718-2021《中密度纤维板》、GB/T 17657-2022《人造板及饰面人造 板理化性能试验方法》、</w:t>
            </w:r>
            <w:r>
              <w:rPr>
                <w:rFonts w:hint="eastAsia" w:ascii="宋体" w:hAnsi="宋体" w:cs="宋体"/>
                <w:kern w:val="0"/>
                <w:sz w:val="21"/>
                <w:szCs w:val="21"/>
                <w:lang w:eastAsia="zh-CN" w:bidi="ar"/>
              </w:rPr>
              <w:t>GB/T 35601-2024</w:t>
            </w:r>
            <w:r>
              <w:rPr>
                <w:rFonts w:hint="eastAsia" w:ascii="宋体" w:hAnsi="宋体" w:cs="宋体"/>
                <w:kern w:val="0"/>
                <w:sz w:val="21"/>
                <w:szCs w:val="21"/>
                <w:lang w:bidi="ar"/>
              </w:rPr>
              <w:t xml:space="preserve"> 《绿色产品评价 人造板和木质地板》、GB 18584-2001 《室内装饰装修材料 木家具中有害物质限量》、GB18580-2017《室内装饰装修材料人造板及其制品中甲醛释放限量》、GB/T20284-2006《建筑材料或制品的单体燃烧试验》、</w:t>
            </w:r>
            <w:r>
              <w:rPr>
                <w:rFonts w:hint="eastAsia" w:ascii="宋体" w:hAnsi="宋体" w:cs="宋体"/>
                <w:kern w:val="0"/>
                <w:sz w:val="21"/>
                <w:szCs w:val="21"/>
                <w:lang w:eastAsia="zh-CN" w:bidi="ar"/>
              </w:rPr>
              <w:t>GB/T8626-2025</w:t>
            </w:r>
            <w:r>
              <w:rPr>
                <w:rFonts w:hint="eastAsia" w:ascii="宋体" w:hAnsi="宋体" w:cs="宋体"/>
                <w:kern w:val="0"/>
                <w:sz w:val="21"/>
                <w:szCs w:val="21"/>
                <w:lang w:bidi="ar"/>
              </w:rPr>
              <w:t>《建筑材料可燃性试验方法》，其中板内密度偏差检测在±1.0% 之内，密度0.76g/cm³，含水率4.1%，静曲强度24.4MPa，弹性模量3000MPa， 内胶合强度0.70MPa，表面胶合强度1.26MPa，吸水厚度膨胀率5.0%。</w:t>
            </w:r>
            <w:r>
              <w:rPr>
                <w:rFonts w:ascii="宋体" w:hAnsi="宋体" w:cs="仿宋_GB2312"/>
                <w:kern w:val="0"/>
                <w:sz w:val="21"/>
                <w:szCs w:val="21"/>
                <w:lang w:bidi="ar"/>
              </w:rPr>
              <w:t>。总挥发性有机物(TVOC)未检出。苯、甲苯、二甲苯未检出。甲醛释放量甲醛释放量</w:t>
            </w:r>
            <w:r>
              <w:rPr>
                <w:rFonts w:hint="eastAsia" w:ascii="宋体" w:hAnsi="宋体" w:cs="仿宋_GB2312"/>
                <w:kern w:val="0"/>
                <w:sz w:val="21"/>
                <w:szCs w:val="21"/>
                <w:lang w:bidi="ar"/>
              </w:rPr>
              <w:t>未检出。</w:t>
            </w:r>
            <w:r>
              <w:rPr>
                <w:rFonts w:hint="eastAsia" w:ascii="宋体" w:hAnsi="宋体" w:cs="宋体"/>
                <w:kern w:val="0"/>
                <w:sz w:val="21"/>
                <w:szCs w:val="21"/>
                <w:lang w:bidi="ar"/>
              </w:rPr>
              <w:t xml:space="preserve"> 2、面材：采用0.6mm厚天然胡桃木皮饰面，符合GB/T29894-2013木材鉴别方法通则 GB/T1931-2009木材含水率测试方法GB/T17657-2022人造板及饰面人造板理化性能实验方法 GB/T13010-2020刨切单板 标准，木材含水率8%，甲醛释放量未检出，木皮纹理清晰自然、色泽一致、表面平整光滑、耐磨性好，且经防虫防腐处理。 3、封边：四周显露部位使用与木皮材质一致的实木封边，厚度</w:t>
            </w:r>
            <w:r>
              <w:rPr>
                <w:rFonts w:hint="eastAsia" w:ascii="宋体" w:hAnsi="宋体" w:cs="宋体"/>
                <w:kern w:val="0"/>
                <w:sz w:val="21"/>
                <w:szCs w:val="21"/>
                <w:lang w:val="en-US" w:eastAsia="zh-CN" w:bidi="ar"/>
              </w:rPr>
              <w:t>0.6</w:t>
            </w:r>
            <w:r>
              <w:rPr>
                <w:rFonts w:hint="eastAsia" w:ascii="宋体" w:hAnsi="宋体" w:cs="宋体"/>
                <w:kern w:val="0"/>
                <w:sz w:val="21"/>
                <w:szCs w:val="21"/>
                <w:lang w:bidi="ar"/>
              </w:rPr>
              <w:t>mm。4、油漆：采用环保水性底漆、水性面漆涂饰,保证漆面的光泽度、耐磨性、硬度（擦伤）达到行业标准，各项指标符合国际环保要求。5底3面工艺，依据GB/T 23999-2009《室内装饰装修用水性木器涂料》、GB18581-2020《木器涂料中有害物质限量》、HJ2537-2014《环境标志产品技术要求水性涂料》、GB/T21866-2008《抗菌涂料(漆膜)抗菌性测定法和抗菌效果》，其中VOC含量(涂料)、苯、甲苯、二甲苯、乙苯的总量未检出，苯系物总和含量未检出，游离甲醛未检出。5、五金件：</w:t>
            </w:r>
            <w:r>
              <w:rPr>
                <w:rFonts w:hint="eastAsia" w:ascii="宋体" w:hAnsi="宋体" w:eastAsia="宋体" w:cs="宋体"/>
                <w:i w:val="0"/>
                <w:iCs w:val="0"/>
                <w:color w:val="000000"/>
                <w:kern w:val="0"/>
                <w:sz w:val="21"/>
                <w:szCs w:val="21"/>
                <w:u w:val="none"/>
                <w:lang w:val="en-US" w:eastAsia="zh-CN" w:bidi="ar"/>
              </w:rPr>
              <w:t>连接件，配尼龙脚垫</w:t>
            </w:r>
            <w:r>
              <w:rPr>
                <w:rFonts w:hint="eastAsia" w:ascii="宋体" w:hAnsi="宋体" w:cs="宋体"/>
                <w:kern w:val="0"/>
                <w:sz w:val="21"/>
                <w:szCs w:val="21"/>
                <w:lang w:bidi="ar"/>
              </w:rPr>
              <w:t>。6、工艺：人造板部件全部双饰面、封四边，走线孔内缘和隐蔽部位全部封边或密封处理，板两面双贴木皮，实木封边，两面均衡油饰。</w:t>
            </w:r>
          </w:p>
        </w:tc>
        <w:tc>
          <w:tcPr>
            <w:tcW w:w="709" w:type="dxa"/>
            <w:vAlign w:val="center"/>
          </w:tcPr>
          <w:p w14:paraId="01BB711D">
            <w:pPr>
              <w:widowControl/>
              <w:jc w:val="center"/>
              <w:textAlignment w:val="center"/>
              <w:rPr>
                <w:rFonts w:hint="eastAsia" w:ascii="宋体" w:hAnsi="宋体"/>
                <w:bCs/>
                <w:kern w:val="0"/>
                <w:sz w:val="24"/>
              </w:rPr>
            </w:pPr>
            <w:r>
              <w:rPr>
                <w:rFonts w:hint="eastAsia" w:ascii="宋体" w:hAnsi="宋体" w:cs="宋体"/>
                <w:kern w:val="0"/>
                <w:sz w:val="20"/>
                <w:szCs w:val="20"/>
                <w:lang w:bidi="ar"/>
              </w:rPr>
              <w:t>件</w:t>
            </w:r>
          </w:p>
        </w:tc>
        <w:tc>
          <w:tcPr>
            <w:tcW w:w="850" w:type="dxa"/>
            <w:vAlign w:val="center"/>
          </w:tcPr>
          <w:p w14:paraId="244671C2">
            <w:pPr>
              <w:widowControl/>
              <w:jc w:val="center"/>
              <w:textAlignment w:val="center"/>
              <w:rPr>
                <w:rFonts w:hint="eastAsia" w:ascii="宋体" w:hAnsi="宋体"/>
                <w:bCs/>
                <w:kern w:val="0"/>
                <w:sz w:val="24"/>
              </w:rPr>
            </w:pPr>
            <w:r>
              <w:rPr>
                <w:rFonts w:hint="eastAsia" w:ascii="宋体" w:hAnsi="宋体" w:cs="宋体"/>
                <w:kern w:val="0"/>
                <w:sz w:val="20"/>
                <w:szCs w:val="20"/>
                <w:lang w:bidi="ar"/>
              </w:rPr>
              <w:t>14</w:t>
            </w:r>
          </w:p>
        </w:tc>
      </w:tr>
      <w:tr w14:paraId="3BB2D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14:paraId="01EC3A23">
            <w:pPr>
              <w:widowControl/>
              <w:jc w:val="center"/>
              <w:textAlignment w:val="center"/>
              <w:rPr>
                <w:rFonts w:hint="eastAsia" w:ascii="宋体" w:hAnsi="宋体"/>
                <w:bCs/>
                <w:kern w:val="0"/>
                <w:sz w:val="24"/>
              </w:rPr>
            </w:pPr>
            <w:r>
              <w:rPr>
                <w:rFonts w:hint="eastAsia" w:ascii="宋体" w:hAnsi="宋体" w:cs="宋体"/>
                <w:kern w:val="0"/>
                <w:sz w:val="24"/>
                <w:lang w:bidi="ar"/>
              </w:rPr>
              <w:t>10</w:t>
            </w:r>
          </w:p>
        </w:tc>
        <w:tc>
          <w:tcPr>
            <w:tcW w:w="1313" w:type="dxa"/>
            <w:vAlign w:val="center"/>
          </w:tcPr>
          <w:p w14:paraId="6AEAF37C">
            <w:pPr>
              <w:widowControl/>
              <w:jc w:val="center"/>
              <w:textAlignment w:val="center"/>
              <w:rPr>
                <w:rFonts w:hint="eastAsia" w:ascii="宋体" w:hAnsi="宋体"/>
                <w:bCs/>
                <w:kern w:val="0"/>
                <w:sz w:val="24"/>
              </w:rPr>
            </w:pPr>
            <w:r>
              <w:rPr>
                <w:rFonts w:hint="eastAsia" w:ascii="宋体" w:hAnsi="宋体" w:cs="宋体"/>
                <w:kern w:val="0"/>
                <w:sz w:val="20"/>
                <w:szCs w:val="20"/>
                <w:lang w:bidi="ar"/>
              </w:rPr>
              <w:t>主</w:t>
            </w:r>
            <w:r>
              <w:rPr>
                <w:rFonts w:hint="eastAsia" w:ascii="宋体" w:hAnsi="宋体" w:cs="宋体"/>
                <w:kern w:val="0"/>
                <w:sz w:val="20"/>
                <w:szCs w:val="20"/>
                <w:lang w:val="en-US" w:eastAsia="zh-CN" w:bidi="ar"/>
              </w:rPr>
              <w:t>席</w:t>
            </w:r>
            <w:r>
              <w:rPr>
                <w:rFonts w:hint="eastAsia" w:ascii="宋体" w:hAnsi="宋体" w:cs="宋体"/>
                <w:kern w:val="0"/>
                <w:sz w:val="20"/>
                <w:szCs w:val="20"/>
                <w:lang w:bidi="ar"/>
              </w:rPr>
              <w:t>台椅</w:t>
            </w:r>
          </w:p>
        </w:tc>
        <w:tc>
          <w:tcPr>
            <w:tcW w:w="1248" w:type="dxa"/>
            <w:vAlign w:val="center"/>
          </w:tcPr>
          <w:p w14:paraId="2766E4F8">
            <w:pPr>
              <w:widowControl/>
              <w:jc w:val="center"/>
              <w:textAlignment w:val="center"/>
              <w:rPr>
                <w:rFonts w:hint="eastAsia" w:ascii="宋体" w:hAnsi="宋体"/>
                <w:bCs/>
                <w:kern w:val="0"/>
                <w:sz w:val="24"/>
              </w:rPr>
            </w:pPr>
            <w:r>
              <w:rPr>
                <w:rFonts w:hint="eastAsia" w:ascii="宋体" w:hAnsi="宋体" w:cs="宋体"/>
                <w:kern w:val="0"/>
                <w:sz w:val="20"/>
                <w:szCs w:val="20"/>
                <w:lang w:bidi="ar"/>
              </w:rPr>
              <w:t>标准</w:t>
            </w:r>
          </w:p>
        </w:tc>
        <w:tc>
          <w:tcPr>
            <w:tcW w:w="3685" w:type="dxa"/>
            <w:vAlign w:val="center"/>
          </w:tcPr>
          <w:p w14:paraId="3DF1A75D">
            <w:pPr>
              <w:widowControl/>
              <w:jc w:val="left"/>
              <w:textAlignment w:val="center"/>
              <w:rPr>
                <w:rFonts w:hint="eastAsia" w:ascii="宋体" w:hAnsi="宋体" w:cs="宋体"/>
                <w:kern w:val="0"/>
                <w:sz w:val="21"/>
                <w:szCs w:val="21"/>
                <w:lang w:bidi="ar"/>
              </w:rPr>
            </w:pPr>
            <w:r>
              <w:rPr>
                <w:rFonts w:hint="eastAsia" w:ascii="宋体" w:hAnsi="宋体" w:cs="宋体"/>
                <w:kern w:val="0"/>
                <w:sz w:val="21"/>
                <w:szCs w:val="21"/>
                <w:lang w:bidi="ar"/>
              </w:rPr>
              <w:t xml:space="preserve">1.面料: </w:t>
            </w:r>
            <w:r>
              <w:rPr>
                <w:rFonts w:hint="eastAsia" w:ascii="宋体" w:hAnsi="宋体" w:eastAsia="宋体" w:cs="宋体"/>
                <w:i w:val="0"/>
                <w:iCs w:val="0"/>
                <w:color w:val="000000"/>
                <w:kern w:val="0"/>
                <w:sz w:val="21"/>
                <w:szCs w:val="21"/>
                <w:u w:val="none"/>
                <w:lang w:val="en-US" w:eastAsia="zh-CN" w:bidi="ar"/>
              </w:rPr>
              <w:t>一级牛皮覆面</w:t>
            </w:r>
            <w:r>
              <w:rPr>
                <w:rFonts w:hint="eastAsia" w:ascii="宋体" w:hAnsi="宋体" w:cs="宋体"/>
                <w:kern w:val="0"/>
                <w:sz w:val="21"/>
                <w:szCs w:val="21"/>
                <w:lang w:bidi="ar"/>
              </w:rPr>
              <w:t>，</w:t>
            </w:r>
            <w:r>
              <w:rPr>
                <w:rFonts w:hint="eastAsia" w:ascii="宋体" w:hAnsi="宋体" w:eastAsia="宋体" w:cs="宋体"/>
                <w:i w:val="0"/>
                <w:iCs w:val="0"/>
                <w:color w:val="000000"/>
                <w:kern w:val="0"/>
                <w:sz w:val="21"/>
                <w:szCs w:val="21"/>
                <w:u w:val="none"/>
                <w:lang w:val="en-US" w:eastAsia="zh-CN" w:bidi="ar"/>
              </w:rPr>
              <w:t>厚度≥0.8mm</w:t>
            </w:r>
            <w:r>
              <w:rPr>
                <w:rFonts w:hint="eastAsia" w:ascii="宋体" w:hAnsi="宋体" w:cs="宋体"/>
                <w:kern w:val="0"/>
                <w:sz w:val="21"/>
                <w:szCs w:val="21"/>
                <w:lang w:bidi="ar"/>
              </w:rPr>
              <w:t>，摩擦色牢度4-5级，耐折牢度（50000次）无裂纹，撕裂力≥110N，游离甲醛未检出，挥发性有机物(VOC)未检出，符合GB20400-2006《皮革和皮毛有害物质限量》、GB/T 16799-2018《家具用皮革》；2.海绵:采用聚氨酯冷发泡高回弹海绵，回弹率≥50%，75%压缩永久变形≤4.7%，拉伸强度≥105kPa，撕裂强度≥2.5N/cm，软质聚氨酯泡沫塑料座面密度≥40kg/m²，TVOC≤0.05mg/m²h，甲醛释放量≤0.005mg/m²h，表面有保护面,可防氧化,防碎；符合GB17927.2-2011软体家具床垫和沙发抗引燃特性的评定第2部分：模拟火柴火焰、GB/T 10802-2023通用软质聚氨酯泡沫塑料、QB/T2280-2016办公家具办公椅；3.椅架扶手：采用实木扶手，水性环保油漆工艺，挥发性有机化合物(VOC)未检出，甲醛含量未检出，面漆耐干热性无变化1级，苯、甲苯、二甲苯、乙苯的总量未检出，丰满度好、附着力强、硬度高、耐磨、涂层亮度均匀不褪色；经无尘五底三面八道循环工艺处理，符合HJ2537-2014环境标志产品技术要求水性涂料；GB/T23999-2009室内装饰装修水性木器涂料；GB18581-2020器涂料中害物质限量；</w:t>
            </w:r>
          </w:p>
        </w:tc>
        <w:tc>
          <w:tcPr>
            <w:tcW w:w="709" w:type="dxa"/>
            <w:vAlign w:val="center"/>
          </w:tcPr>
          <w:p w14:paraId="0BC72830">
            <w:pPr>
              <w:widowControl/>
              <w:jc w:val="center"/>
              <w:textAlignment w:val="center"/>
              <w:rPr>
                <w:rFonts w:hint="eastAsia" w:ascii="宋体" w:hAnsi="宋体"/>
                <w:bCs/>
                <w:kern w:val="0"/>
                <w:sz w:val="24"/>
              </w:rPr>
            </w:pPr>
            <w:r>
              <w:rPr>
                <w:rFonts w:hint="eastAsia" w:ascii="宋体" w:hAnsi="宋体" w:cs="宋体"/>
                <w:kern w:val="0"/>
                <w:sz w:val="20"/>
                <w:szCs w:val="20"/>
                <w:lang w:bidi="ar"/>
              </w:rPr>
              <w:t>件</w:t>
            </w:r>
          </w:p>
        </w:tc>
        <w:tc>
          <w:tcPr>
            <w:tcW w:w="850" w:type="dxa"/>
            <w:vAlign w:val="center"/>
          </w:tcPr>
          <w:p w14:paraId="481733D9">
            <w:pPr>
              <w:widowControl/>
              <w:jc w:val="center"/>
              <w:textAlignment w:val="center"/>
              <w:rPr>
                <w:rFonts w:hint="eastAsia" w:ascii="宋体" w:hAnsi="宋体"/>
                <w:bCs/>
                <w:kern w:val="0"/>
                <w:sz w:val="24"/>
              </w:rPr>
            </w:pPr>
            <w:r>
              <w:rPr>
                <w:rFonts w:hint="eastAsia" w:ascii="宋体" w:hAnsi="宋体" w:cs="宋体"/>
                <w:kern w:val="0"/>
                <w:sz w:val="20"/>
                <w:szCs w:val="20"/>
                <w:lang w:bidi="ar"/>
              </w:rPr>
              <w:t>28</w:t>
            </w:r>
          </w:p>
        </w:tc>
      </w:tr>
      <w:tr w14:paraId="719E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14:paraId="02461F2A">
            <w:pPr>
              <w:widowControl/>
              <w:jc w:val="center"/>
              <w:textAlignment w:val="center"/>
              <w:rPr>
                <w:rFonts w:hint="eastAsia" w:ascii="宋体" w:hAnsi="宋体"/>
                <w:bCs/>
                <w:kern w:val="0"/>
                <w:sz w:val="24"/>
              </w:rPr>
            </w:pPr>
            <w:r>
              <w:rPr>
                <w:rFonts w:hint="eastAsia" w:ascii="宋体" w:hAnsi="宋体" w:cs="宋体"/>
                <w:kern w:val="0"/>
                <w:sz w:val="24"/>
                <w:lang w:bidi="ar"/>
              </w:rPr>
              <w:t>11</w:t>
            </w:r>
          </w:p>
        </w:tc>
        <w:tc>
          <w:tcPr>
            <w:tcW w:w="1313" w:type="dxa"/>
            <w:vAlign w:val="center"/>
          </w:tcPr>
          <w:p w14:paraId="50796D4C">
            <w:pPr>
              <w:widowControl/>
              <w:jc w:val="center"/>
              <w:textAlignment w:val="center"/>
              <w:rPr>
                <w:rFonts w:hint="eastAsia" w:ascii="宋体" w:hAnsi="宋体"/>
                <w:bCs/>
                <w:kern w:val="0"/>
                <w:sz w:val="24"/>
              </w:rPr>
            </w:pPr>
            <w:r>
              <w:rPr>
                <w:rFonts w:hint="eastAsia" w:ascii="宋体" w:hAnsi="宋体" w:cs="宋体"/>
                <w:kern w:val="0"/>
                <w:sz w:val="20"/>
                <w:szCs w:val="20"/>
                <w:lang w:bidi="ar"/>
              </w:rPr>
              <w:t>演讲台</w:t>
            </w:r>
          </w:p>
        </w:tc>
        <w:tc>
          <w:tcPr>
            <w:tcW w:w="1248" w:type="dxa"/>
            <w:vAlign w:val="center"/>
          </w:tcPr>
          <w:p w14:paraId="6BC8AC84">
            <w:pPr>
              <w:widowControl/>
              <w:jc w:val="center"/>
              <w:textAlignment w:val="center"/>
              <w:rPr>
                <w:rFonts w:hint="eastAsia" w:ascii="宋体" w:hAnsi="宋体"/>
                <w:bCs/>
                <w:kern w:val="0"/>
                <w:sz w:val="24"/>
              </w:rPr>
            </w:pPr>
            <w:r>
              <w:rPr>
                <w:rFonts w:hint="eastAsia" w:ascii="宋体" w:hAnsi="宋体" w:cs="宋体"/>
                <w:kern w:val="0"/>
                <w:sz w:val="20"/>
                <w:szCs w:val="20"/>
                <w:lang w:bidi="ar"/>
              </w:rPr>
              <w:t>标准</w:t>
            </w:r>
          </w:p>
        </w:tc>
        <w:tc>
          <w:tcPr>
            <w:tcW w:w="3685" w:type="dxa"/>
            <w:vAlign w:val="center"/>
          </w:tcPr>
          <w:p w14:paraId="41A6F422">
            <w:pPr>
              <w:widowControl/>
              <w:jc w:val="left"/>
              <w:textAlignment w:val="center"/>
              <w:rPr>
                <w:rFonts w:hint="eastAsia" w:ascii="宋体" w:hAnsi="宋体" w:cs="宋体"/>
                <w:kern w:val="0"/>
                <w:sz w:val="21"/>
                <w:szCs w:val="21"/>
                <w:lang w:bidi="ar"/>
              </w:rPr>
            </w:pPr>
            <w:r>
              <w:rPr>
                <w:rFonts w:hint="eastAsia" w:ascii="宋体" w:hAnsi="宋体" w:cs="宋体"/>
                <w:kern w:val="0"/>
                <w:sz w:val="21"/>
                <w:szCs w:val="21"/>
                <w:lang w:bidi="ar"/>
              </w:rPr>
              <w:t>1、基材：采用ENF级优质环保中密度纤维板，符合</w:t>
            </w:r>
            <w:r>
              <w:rPr>
                <w:rFonts w:hint="eastAsia" w:ascii="宋体" w:hAnsi="宋体" w:cs="宋体"/>
                <w:kern w:val="0"/>
                <w:sz w:val="21"/>
                <w:szCs w:val="21"/>
                <w:lang w:eastAsia="zh-CN" w:bidi="ar"/>
              </w:rPr>
              <w:t>GB/T3324-2024</w:t>
            </w:r>
            <w:r>
              <w:rPr>
                <w:rFonts w:hint="eastAsia" w:ascii="宋体" w:hAnsi="宋体" w:cs="宋体"/>
                <w:kern w:val="0"/>
                <w:sz w:val="21"/>
                <w:szCs w:val="21"/>
                <w:lang w:bidi="ar"/>
              </w:rPr>
              <w:t>《木家具通用技术条件》，符合 GB/T 11718-2021《中密度纤维板》、GB/T 17657-2022《人造板及饰面人造 板理化性能试验方法》、</w:t>
            </w:r>
            <w:r>
              <w:rPr>
                <w:rFonts w:hint="eastAsia" w:ascii="宋体" w:hAnsi="宋体" w:cs="宋体"/>
                <w:kern w:val="0"/>
                <w:sz w:val="21"/>
                <w:szCs w:val="21"/>
                <w:lang w:eastAsia="zh-CN" w:bidi="ar"/>
              </w:rPr>
              <w:t>GB/T 35601-2024</w:t>
            </w:r>
            <w:r>
              <w:rPr>
                <w:rFonts w:hint="eastAsia" w:ascii="宋体" w:hAnsi="宋体" w:cs="宋体"/>
                <w:kern w:val="0"/>
                <w:sz w:val="21"/>
                <w:szCs w:val="21"/>
                <w:lang w:bidi="ar"/>
              </w:rPr>
              <w:t xml:space="preserve"> 《绿色产品评价 人造板和木质地板》、GB 18584-2001 《室内装饰装修材料 木家具中有害物质限量》、GB18580-2017《室内装饰装修材料人造板及其制品中甲醛释放限量》、GB/T20284-2006《建筑材料或制品的单体燃烧试验》、</w:t>
            </w:r>
            <w:r>
              <w:rPr>
                <w:rFonts w:hint="eastAsia" w:ascii="宋体" w:hAnsi="宋体" w:cs="宋体"/>
                <w:kern w:val="0"/>
                <w:sz w:val="21"/>
                <w:szCs w:val="21"/>
                <w:lang w:eastAsia="zh-CN" w:bidi="ar"/>
              </w:rPr>
              <w:t>GB/T8626-2025</w:t>
            </w:r>
            <w:r>
              <w:rPr>
                <w:rFonts w:hint="eastAsia" w:ascii="宋体" w:hAnsi="宋体" w:cs="宋体"/>
                <w:kern w:val="0"/>
                <w:sz w:val="21"/>
                <w:szCs w:val="21"/>
                <w:lang w:bidi="ar"/>
              </w:rPr>
              <w:t>《建筑材料可燃性试验方法》，其中板内密度偏差检测在±1.0% 之内，密度0.76g/cm³，含水率4.1%，静曲强度24.4MPa，弹性模量3000MPa， 内胶合强度0.70MPa，表面胶合强度1.26MPa，吸水厚度膨胀率5.0%。</w:t>
            </w:r>
            <w:r>
              <w:rPr>
                <w:rFonts w:ascii="宋体" w:hAnsi="宋体" w:cs="仿宋_GB2312"/>
                <w:kern w:val="0"/>
                <w:sz w:val="21"/>
                <w:szCs w:val="21"/>
                <w:lang w:bidi="ar"/>
              </w:rPr>
              <w:t>。总挥发性有机物(TVOC)未检出。苯、甲苯、二甲苯未检出。甲醛释放量甲醛释放量</w:t>
            </w:r>
            <w:r>
              <w:rPr>
                <w:rFonts w:hint="eastAsia" w:ascii="宋体" w:hAnsi="宋体" w:cs="仿宋_GB2312"/>
                <w:kern w:val="0"/>
                <w:sz w:val="21"/>
                <w:szCs w:val="21"/>
                <w:lang w:bidi="ar"/>
              </w:rPr>
              <w:t>未检出。</w:t>
            </w:r>
            <w:r>
              <w:rPr>
                <w:rFonts w:hint="eastAsia" w:ascii="宋体" w:hAnsi="宋体" w:cs="宋体"/>
                <w:kern w:val="0"/>
                <w:sz w:val="21"/>
                <w:szCs w:val="21"/>
                <w:lang w:bidi="ar"/>
              </w:rPr>
              <w:t xml:space="preserve"> 2、面材：采用0.6mm厚天然胡桃木皮饰面，符合GB/T29894-2013木材鉴别方法通则 GB/T1931-2009木材含水率测试方法GB/T17657-2022人造板及饰面人造板理化性能实验方法 GB/T13010-2020刨切单板 标准，木材含水率8%，甲醛释放量未检出，木皮纹理清晰自然、色泽一致、表面平整光滑、耐磨性好，且经防虫防腐处理。 3、封边：四周显露部位使用与木皮材质一致的实木封边，厚度</w:t>
            </w:r>
            <w:r>
              <w:rPr>
                <w:rFonts w:hint="eastAsia" w:ascii="宋体" w:hAnsi="宋体" w:cs="宋体"/>
                <w:kern w:val="0"/>
                <w:sz w:val="21"/>
                <w:szCs w:val="21"/>
                <w:lang w:val="en-US" w:eastAsia="zh-CN" w:bidi="ar"/>
              </w:rPr>
              <w:t>0.6</w:t>
            </w:r>
            <w:r>
              <w:rPr>
                <w:rFonts w:hint="eastAsia" w:ascii="宋体" w:hAnsi="宋体" w:cs="宋体"/>
                <w:kern w:val="0"/>
                <w:sz w:val="21"/>
                <w:szCs w:val="21"/>
                <w:lang w:bidi="ar"/>
              </w:rPr>
              <w:t>mm。4、油漆：采用环保水性底漆、水性面漆涂饰,保证漆面的光泽度、耐磨性、硬度（擦伤）达到行业标准，各项指标符合国际环保要求。5底3面工艺，依据GB/T 23999-2009《室内装饰装修用水性木器涂料》、GB18581-2020《木器涂料中有害物质限量》、HJ2537-2014《环境标志产品技术要求水性涂料》、GB/T21866-2008《抗菌涂料(漆膜)抗菌性测定法和抗菌效果》，其中VOC含量(涂料)、苯、甲苯、二甲苯、乙苯的总量未检出，苯系物总和含量未检出，游离甲醛未检出。5、五金件：</w:t>
            </w:r>
            <w:r>
              <w:rPr>
                <w:rFonts w:hint="eastAsia" w:ascii="宋体" w:hAnsi="宋体" w:eastAsia="宋体" w:cs="宋体"/>
                <w:i w:val="0"/>
                <w:iCs w:val="0"/>
                <w:color w:val="000000"/>
                <w:kern w:val="0"/>
                <w:sz w:val="21"/>
                <w:szCs w:val="21"/>
                <w:u w:val="none"/>
                <w:lang w:val="en-US" w:eastAsia="zh-CN" w:bidi="ar"/>
              </w:rPr>
              <w:t>连接件，配尼龙脚垫</w:t>
            </w:r>
            <w:r>
              <w:rPr>
                <w:rFonts w:hint="eastAsia" w:ascii="宋体" w:hAnsi="宋体" w:cs="宋体"/>
                <w:kern w:val="0"/>
                <w:sz w:val="21"/>
                <w:szCs w:val="21"/>
                <w:lang w:bidi="ar"/>
              </w:rPr>
              <w:t>。6、工艺：人造板部件全部双饰面、封四边，走线孔内缘和隐蔽部位全部封边或密封处理，板两面双贴木皮，实木封边，两面均衡油饰。</w:t>
            </w:r>
          </w:p>
        </w:tc>
        <w:tc>
          <w:tcPr>
            <w:tcW w:w="709" w:type="dxa"/>
            <w:vAlign w:val="center"/>
          </w:tcPr>
          <w:p w14:paraId="5E3F0F9A">
            <w:pPr>
              <w:widowControl/>
              <w:jc w:val="center"/>
              <w:textAlignment w:val="center"/>
              <w:rPr>
                <w:rFonts w:hint="eastAsia" w:ascii="宋体" w:hAnsi="宋体"/>
                <w:bCs/>
                <w:kern w:val="0"/>
                <w:sz w:val="24"/>
              </w:rPr>
            </w:pPr>
            <w:r>
              <w:rPr>
                <w:rFonts w:hint="eastAsia" w:ascii="宋体" w:hAnsi="宋体" w:cs="宋体"/>
                <w:kern w:val="0"/>
                <w:sz w:val="20"/>
                <w:szCs w:val="20"/>
                <w:lang w:bidi="ar"/>
              </w:rPr>
              <w:t>件</w:t>
            </w:r>
          </w:p>
        </w:tc>
        <w:tc>
          <w:tcPr>
            <w:tcW w:w="850" w:type="dxa"/>
            <w:vAlign w:val="center"/>
          </w:tcPr>
          <w:p w14:paraId="0DB696A5">
            <w:pPr>
              <w:widowControl/>
              <w:jc w:val="center"/>
              <w:textAlignment w:val="center"/>
              <w:rPr>
                <w:rFonts w:hint="eastAsia" w:ascii="宋体" w:hAnsi="宋体"/>
                <w:bCs/>
                <w:kern w:val="0"/>
                <w:sz w:val="24"/>
              </w:rPr>
            </w:pPr>
            <w:r>
              <w:rPr>
                <w:rFonts w:hint="eastAsia" w:ascii="宋体" w:hAnsi="宋体" w:cs="宋体"/>
                <w:kern w:val="0"/>
                <w:sz w:val="20"/>
                <w:szCs w:val="20"/>
                <w:lang w:bidi="ar"/>
              </w:rPr>
              <w:t>1</w:t>
            </w:r>
          </w:p>
        </w:tc>
      </w:tr>
      <w:tr w14:paraId="42652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14:paraId="3147817E">
            <w:pPr>
              <w:widowControl/>
              <w:jc w:val="center"/>
              <w:textAlignment w:val="center"/>
              <w:rPr>
                <w:rFonts w:hint="eastAsia" w:ascii="宋体" w:hAnsi="宋体"/>
                <w:bCs/>
                <w:kern w:val="0"/>
                <w:sz w:val="24"/>
              </w:rPr>
            </w:pPr>
            <w:r>
              <w:rPr>
                <w:rFonts w:hint="eastAsia" w:ascii="宋体" w:hAnsi="宋体" w:cs="宋体"/>
                <w:kern w:val="0"/>
                <w:sz w:val="24"/>
                <w:lang w:bidi="ar"/>
              </w:rPr>
              <w:t>12</w:t>
            </w:r>
          </w:p>
        </w:tc>
        <w:tc>
          <w:tcPr>
            <w:tcW w:w="1313" w:type="dxa"/>
            <w:vAlign w:val="center"/>
          </w:tcPr>
          <w:p w14:paraId="2793391B">
            <w:pPr>
              <w:widowControl/>
              <w:jc w:val="center"/>
              <w:textAlignment w:val="center"/>
              <w:rPr>
                <w:rFonts w:hint="eastAsia" w:ascii="宋体" w:hAnsi="宋体"/>
                <w:bCs/>
                <w:kern w:val="0"/>
                <w:sz w:val="24"/>
              </w:rPr>
            </w:pPr>
            <w:r>
              <w:rPr>
                <w:rFonts w:hint="eastAsia" w:ascii="宋体" w:hAnsi="宋体" w:cs="宋体"/>
                <w:kern w:val="0"/>
                <w:sz w:val="20"/>
                <w:szCs w:val="20"/>
                <w:lang w:bidi="ar"/>
              </w:rPr>
              <w:t>培训椅</w:t>
            </w:r>
          </w:p>
        </w:tc>
        <w:tc>
          <w:tcPr>
            <w:tcW w:w="1248" w:type="dxa"/>
            <w:vAlign w:val="center"/>
          </w:tcPr>
          <w:p w14:paraId="34E532A3">
            <w:pPr>
              <w:widowControl/>
              <w:jc w:val="center"/>
              <w:textAlignment w:val="center"/>
              <w:rPr>
                <w:rFonts w:hint="eastAsia" w:ascii="宋体" w:hAnsi="宋体"/>
                <w:bCs/>
                <w:kern w:val="0"/>
                <w:sz w:val="24"/>
              </w:rPr>
            </w:pPr>
            <w:r>
              <w:rPr>
                <w:rFonts w:hint="eastAsia" w:ascii="宋体" w:hAnsi="宋体" w:cs="宋体"/>
                <w:kern w:val="0"/>
                <w:sz w:val="20"/>
                <w:szCs w:val="20"/>
                <w:lang w:bidi="ar"/>
              </w:rPr>
              <w:t>常规</w:t>
            </w:r>
          </w:p>
        </w:tc>
        <w:tc>
          <w:tcPr>
            <w:tcW w:w="3685" w:type="dxa"/>
            <w:vAlign w:val="center"/>
          </w:tcPr>
          <w:p w14:paraId="086F88CE">
            <w:pPr>
              <w:widowControl/>
              <w:jc w:val="left"/>
              <w:textAlignment w:val="center"/>
              <w:rPr>
                <w:rFonts w:hint="eastAsia" w:ascii="宋体" w:hAnsi="宋体" w:cs="宋体"/>
                <w:kern w:val="0"/>
                <w:sz w:val="21"/>
                <w:szCs w:val="21"/>
                <w:lang w:bidi="ar"/>
              </w:rPr>
            </w:pPr>
            <w:r>
              <w:rPr>
                <w:rFonts w:hint="eastAsia" w:ascii="宋体" w:hAnsi="宋体" w:cs="宋体"/>
                <w:kern w:val="0"/>
                <w:sz w:val="21"/>
                <w:szCs w:val="21"/>
                <w:lang w:bidi="ar"/>
              </w:rPr>
              <w:t>主体支架：采用封闭性钢材，经二氧化碳保护焊接、打磨、抛丸、硅烷处理后静电喷塑，前脚≥40*25*1.2mm钢管，整体椅架前脚宽度＜后脚宽度80-100mm,以便收纳扶手：长度160-200mm,扶手面≥100mm，脚轮：无刹车、静音、万向脚轮，直径≥60mm，座靠：椅面;PP材料一体注塑成型，座板深450±20mm,靠背高度380±20mm,座面宽度450±10mm，靠背宽度450±10mm，整体厚度10±1mm，坐垫:采用高回弹海绵，表面耐污布料软包，内芯采用PP材料，弯曲度与椅面相同，产品美观、工艺细致，软垫厚度≥20mm，椅面与坐垫的连接采用KT自攻螺丝件，不少与8颗，以获得较高的贴合度与牢度，不得采用卡扣或胶黏的方式，椅面翻转功能：椅面底部配置手动开关，拉动时椅面整体前倾翻转45度±2度，与主体支架前脚平行，用于椅子收纳，椅面底部翻转机构需采用PP塑料件覆盖，确保使用安全及使用寿命</w:t>
            </w:r>
          </w:p>
        </w:tc>
        <w:tc>
          <w:tcPr>
            <w:tcW w:w="709" w:type="dxa"/>
            <w:vAlign w:val="center"/>
          </w:tcPr>
          <w:p w14:paraId="401EA669">
            <w:pPr>
              <w:widowControl/>
              <w:jc w:val="center"/>
              <w:textAlignment w:val="center"/>
              <w:rPr>
                <w:rFonts w:hint="eastAsia" w:ascii="宋体" w:hAnsi="宋体"/>
                <w:bCs/>
                <w:kern w:val="0"/>
                <w:sz w:val="24"/>
              </w:rPr>
            </w:pPr>
            <w:r>
              <w:rPr>
                <w:rFonts w:hint="eastAsia" w:ascii="宋体" w:hAnsi="宋体" w:cs="宋体"/>
                <w:kern w:val="0"/>
                <w:sz w:val="20"/>
                <w:szCs w:val="20"/>
                <w:lang w:bidi="ar"/>
              </w:rPr>
              <w:t>件</w:t>
            </w:r>
          </w:p>
        </w:tc>
        <w:tc>
          <w:tcPr>
            <w:tcW w:w="850" w:type="dxa"/>
            <w:vAlign w:val="center"/>
          </w:tcPr>
          <w:p w14:paraId="1ECAB9BE">
            <w:pPr>
              <w:widowControl/>
              <w:jc w:val="center"/>
              <w:textAlignment w:val="center"/>
              <w:rPr>
                <w:rFonts w:hint="eastAsia" w:ascii="宋体" w:hAnsi="宋体"/>
                <w:bCs/>
                <w:kern w:val="0"/>
                <w:sz w:val="24"/>
              </w:rPr>
            </w:pPr>
            <w:r>
              <w:rPr>
                <w:rFonts w:hint="eastAsia" w:ascii="宋体" w:hAnsi="宋体" w:cs="宋体"/>
                <w:kern w:val="0"/>
                <w:sz w:val="20"/>
                <w:szCs w:val="20"/>
                <w:lang w:bidi="ar"/>
              </w:rPr>
              <w:t>48</w:t>
            </w:r>
          </w:p>
        </w:tc>
      </w:tr>
      <w:tr w14:paraId="46C58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14:paraId="114FF761">
            <w:pPr>
              <w:widowControl/>
              <w:jc w:val="center"/>
              <w:textAlignment w:val="center"/>
              <w:rPr>
                <w:rFonts w:hint="eastAsia" w:ascii="宋体" w:hAnsi="宋体"/>
                <w:bCs/>
                <w:kern w:val="0"/>
                <w:sz w:val="24"/>
              </w:rPr>
            </w:pPr>
            <w:r>
              <w:rPr>
                <w:rFonts w:hint="eastAsia" w:ascii="宋体" w:hAnsi="宋体" w:cs="宋体"/>
                <w:kern w:val="0"/>
                <w:sz w:val="24"/>
                <w:lang w:bidi="ar"/>
              </w:rPr>
              <w:t>13</w:t>
            </w:r>
          </w:p>
        </w:tc>
        <w:tc>
          <w:tcPr>
            <w:tcW w:w="1313" w:type="dxa"/>
            <w:vAlign w:val="center"/>
          </w:tcPr>
          <w:p w14:paraId="5E99DEAC">
            <w:pPr>
              <w:widowControl/>
              <w:jc w:val="center"/>
              <w:textAlignment w:val="center"/>
              <w:rPr>
                <w:rFonts w:hint="eastAsia" w:ascii="宋体" w:hAnsi="宋体"/>
                <w:bCs/>
                <w:kern w:val="0"/>
                <w:sz w:val="24"/>
              </w:rPr>
            </w:pPr>
            <w:r>
              <w:rPr>
                <w:rFonts w:hint="eastAsia" w:ascii="宋体" w:hAnsi="宋体" w:cs="宋体"/>
                <w:kern w:val="0"/>
                <w:sz w:val="20"/>
                <w:szCs w:val="20"/>
                <w:lang w:bidi="ar"/>
              </w:rPr>
              <w:t>货架</w:t>
            </w:r>
          </w:p>
        </w:tc>
        <w:tc>
          <w:tcPr>
            <w:tcW w:w="1248" w:type="dxa"/>
            <w:vAlign w:val="center"/>
          </w:tcPr>
          <w:p w14:paraId="295EEA41">
            <w:pPr>
              <w:widowControl/>
              <w:jc w:val="center"/>
              <w:textAlignment w:val="center"/>
              <w:rPr>
                <w:rFonts w:hint="eastAsia" w:ascii="宋体" w:hAnsi="宋体"/>
                <w:bCs/>
                <w:kern w:val="0"/>
                <w:sz w:val="24"/>
              </w:rPr>
            </w:pPr>
            <w:r>
              <w:rPr>
                <w:rFonts w:hint="eastAsia" w:ascii="宋体" w:hAnsi="宋体" w:cs="宋体"/>
                <w:kern w:val="0"/>
                <w:sz w:val="20"/>
                <w:szCs w:val="20"/>
                <w:lang w:bidi="ar"/>
              </w:rPr>
              <w:t>1000*600*2000</w:t>
            </w:r>
          </w:p>
        </w:tc>
        <w:tc>
          <w:tcPr>
            <w:tcW w:w="3685" w:type="dxa"/>
            <w:vAlign w:val="center"/>
          </w:tcPr>
          <w:p w14:paraId="762D43BE">
            <w:pPr>
              <w:widowControl/>
              <w:jc w:val="left"/>
              <w:textAlignment w:val="center"/>
              <w:rPr>
                <w:rFonts w:hint="eastAsia" w:ascii="宋体" w:hAnsi="宋体" w:cs="宋体"/>
                <w:kern w:val="0"/>
                <w:sz w:val="21"/>
                <w:szCs w:val="21"/>
                <w:lang w:bidi="ar"/>
              </w:rPr>
            </w:pPr>
            <w:r>
              <w:rPr>
                <w:rFonts w:hint="eastAsia" w:ascii="宋体" w:hAnsi="宋体" w:cs="宋体"/>
                <w:kern w:val="0"/>
                <w:sz w:val="21"/>
                <w:szCs w:val="21"/>
                <w:lang w:bidi="ar"/>
              </w:rPr>
              <w:t>基材：一级冷轧钢板，三折弯工艺处理，钢板厚度1.8mm。</w:t>
            </w:r>
            <w:r>
              <w:rPr>
                <w:rFonts w:hint="eastAsia" w:ascii="宋体" w:hAnsi="宋体" w:cs="宋体"/>
                <w:kern w:val="0"/>
                <w:sz w:val="21"/>
                <w:szCs w:val="21"/>
                <w:lang w:bidi="ar"/>
              </w:rPr>
              <w:br w:type="textWrapping"/>
            </w:r>
            <w:r>
              <w:rPr>
                <w:rFonts w:hint="eastAsia" w:ascii="宋体" w:hAnsi="宋体" w:cs="宋体"/>
                <w:kern w:val="0"/>
                <w:sz w:val="21"/>
                <w:szCs w:val="21"/>
                <w:lang w:bidi="ar"/>
              </w:rPr>
              <w:t>结构：设4块搁板（设加强筋），侧面及背面设斜拉梁，防倾倒设计。</w:t>
            </w:r>
            <w:r>
              <w:rPr>
                <w:rFonts w:hint="eastAsia" w:ascii="宋体" w:hAnsi="宋体" w:cs="宋体"/>
                <w:kern w:val="0"/>
                <w:sz w:val="21"/>
                <w:szCs w:val="21"/>
                <w:lang w:bidi="ar"/>
              </w:rPr>
              <w:br w:type="textWrapping"/>
            </w:r>
            <w:r>
              <w:rPr>
                <w:rFonts w:hint="eastAsia" w:ascii="宋体" w:hAnsi="宋体" w:cs="宋体"/>
                <w:kern w:val="0"/>
                <w:sz w:val="21"/>
                <w:szCs w:val="21"/>
                <w:lang w:bidi="ar"/>
              </w:rPr>
              <w:t>五金件：五金件表面处理：金属部件经脱脂、去油、陶瓷纳米镀膜、除锈，粉末静电喷塑处理。</w:t>
            </w:r>
          </w:p>
        </w:tc>
        <w:tc>
          <w:tcPr>
            <w:tcW w:w="709" w:type="dxa"/>
            <w:vAlign w:val="center"/>
          </w:tcPr>
          <w:p w14:paraId="6C3B5C88">
            <w:pPr>
              <w:widowControl/>
              <w:jc w:val="center"/>
              <w:textAlignment w:val="center"/>
              <w:rPr>
                <w:rFonts w:hint="eastAsia" w:ascii="宋体" w:hAnsi="宋体"/>
                <w:bCs/>
                <w:kern w:val="0"/>
                <w:sz w:val="24"/>
              </w:rPr>
            </w:pPr>
            <w:r>
              <w:rPr>
                <w:rFonts w:hint="eastAsia" w:ascii="宋体" w:hAnsi="宋体" w:cs="宋体"/>
                <w:kern w:val="0"/>
                <w:sz w:val="20"/>
                <w:szCs w:val="20"/>
                <w:lang w:bidi="ar"/>
              </w:rPr>
              <w:t>件</w:t>
            </w:r>
          </w:p>
        </w:tc>
        <w:tc>
          <w:tcPr>
            <w:tcW w:w="850" w:type="dxa"/>
            <w:vAlign w:val="center"/>
          </w:tcPr>
          <w:p w14:paraId="50E3B6DF">
            <w:pPr>
              <w:widowControl/>
              <w:jc w:val="center"/>
              <w:textAlignment w:val="center"/>
              <w:rPr>
                <w:rFonts w:hint="eastAsia" w:ascii="宋体" w:hAnsi="宋体"/>
                <w:bCs/>
                <w:kern w:val="0"/>
                <w:sz w:val="24"/>
              </w:rPr>
            </w:pPr>
            <w:r>
              <w:rPr>
                <w:rFonts w:hint="eastAsia" w:ascii="宋体" w:hAnsi="宋体" w:cs="宋体"/>
                <w:kern w:val="0"/>
                <w:sz w:val="20"/>
                <w:szCs w:val="20"/>
                <w:lang w:bidi="ar"/>
              </w:rPr>
              <w:t>30</w:t>
            </w:r>
          </w:p>
        </w:tc>
      </w:tr>
    </w:tbl>
    <w:p w14:paraId="6BC57485">
      <w:pPr>
        <w:rPr>
          <w:rFonts w:hint="eastAsia" w:ascii="宋体" w:hAnsi="宋体"/>
        </w:rPr>
      </w:pPr>
    </w:p>
    <w:p w14:paraId="4EE9D9D9">
      <w:pPr>
        <w:rPr>
          <w:rFonts w:hint="eastAsia" w:ascii="宋体" w:hAnsi="宋体"/>
          <w:b/>
          <w:bCs/>
        </w:rPr>
      </w:pPr>
      <w:r>
        <w:rPr>
          <w:rFonts w:hint="eastAsia" w:ascii="宋体" w:hAnsi="宋体"/>
          <w:b/>
          <w:bCs/>
        </w:rPr>
        <w:t>二、商务要求</w:t>
      </w:r>
    </w:p>
    <w:p w14:paraId="1D3896BC">
      <w:pPr>
        <w:spacing w:line="360" w:lineRule="auto"/>
        <w:ind w:firstLine="420" w:firstLineChars="200"/>
        <w:rPr>
          <w:rFonts w:hint="eastAsia" w:ascii="宋体" w:hAnsi="宋体"/>
        </w:rPr>
      </w:pPr>
      <w:r>
        <w:rPr>
          <w:rFonts w:ascii="宋体" w:hAnsi="宋体"/>
        </w:rPr>
        <w:t>1. 交付（实施）的时间（期限）和地点（范围）</w:t>
      </w:r>
      <w:r>
        <w:rPr>
          <w:rFonts w:ascii="宋体" w:hAnsi="宋体"/>
        </w:rPr>
        <w:br w:type="textWrapping"/>
      </w:r>
      <w:r>
        <w:rPr>
          <w:rFonts w:ascii="宋体" w:hAnsi="宋体"/>
        </w:rPr>
        <w:t>(1)</w:t>
      </w:r>
      <w:r>
        <w:rPr>
          <w:rFonts w:hint="eastAsia" w:ascii="宋体" w:hAnsi="宋体"/>
        </w:rPr>
        <w:t>交货时间：自</w:t>
      </w:r>
      <w:r>
        <w:rPr>
          <w:rFonts w:hint="eastAsia" w:ascii="宋体" w:hAnsi="宋体"/>
          <w:lang w:val="en-US" w:eastAsia="zh-CN"/>
        </w:rPr>
        <w:t>采购人</w:t>
      </w:r>
      <w:r>
        <w:rPr>
          <w:rFonts w:hint="eastAsia" w:ascii="宋体" w:hAnsi="宋体"/>
        </w:rPr>
        <w:t>签字确认产品图纸后35天。</w:t>
      </w:r>
    </w:p>
    <w:p w14:paraId="2D65E1B3">
      <w:pPr>
        <w:adjustRightInd w:val="0"/>
        <w:spacing w:line="360" w:lineRule="auto"/>
        <w:rPr>
          <w:rFonts w:hint="eastAsia" w:ascii="宋体" w:hAnsi="宋体"/>
        </w:rPr>
      </w:pPr>
      <w:r>
        <w:rPr>
          <w:rFonts w:ascii="宋体" w:hAnsi="宋体"/>
        </w:rPr>
        <w:t>(</w:t>
      </w:r>
      <w:r>
        <w:rPr>
          <w:rFonts w:hint="eastAsia" w:ascii="宋体" w:hAnsi="宋体"/>
        </w:rPr>
        <w:t>2</w:t>
      </w:r>
      <w:r>
        <w:rPr>
          <w:rFonts w:ascii="宋体" w:hAnsi="宋体"/>
        </w:rPr>
        <w:t>)</w:t>
      </w:r>
      <w:r>
        <w:rPr>
          <w:rFonts w:hint="eastAsia" w:ascii="宋体" w:hAnsi="宋体"/>
        </w:rPr>
        <w:t>交货地点：北京市</w:t>
      </w:r>
      <w:r>
        <w:rPr>
          <w:rFonts w:hint="eastAsia" w:ascii="宋体" w:hAnsi="宋体"/>
          <w:lang w:val="en-US" w:eastAsia="zh-CN"/>
        </w:rPr>
        <w:t>采购人</w:t>
      </w:r>
      <w:r>
        <w:rPr>
          <w:rFonts w:hint="eastAsia" w:ascii="宋体" w:hAnsi="宋体"/>
        </w:rPr>
        <w:t>指定地点。</w:t>
      </w:r>
    </w:p>
    <w:p w14:paraId="45B96005">
      <w:pPr>
        <w:spacing w:line="360" w:lineRule="auto"/>
        <w:rPr>
          <w:rFonts w:hint="eastAsia" w:ascii="宋体" w:hAnsi="宋体"/>
        </w:rPr>
      </w:pPr>
      <w:r>
        <w:rPr>
          <w:rFonts w:ascii="宋体" w:hAnsi="宋体"/>
        </w:rPr>
        <w:t>(</w:t>
      </w:r>
      <w:r>
        <w:rPr>
          <w:rFonts w:hint="eastAsia" w:ascii="宋体" w:hAnsi="宋体"/>
        </w:rPr>
        <w:t>3</w:t>
      </w:r>
      <w:r>
        <w:rPr>
          <w:rFonts w:ascii="宋体" w:hAnsi="宋体"/>
        </w:rPr>
        <w:t>)</w:t>
      </w:r>
      <w:r>
        <w:rPr>
          <w:rFonts w:hint="eastAsia" w:ascii="宋体" w:hAnsi="宋体"/>
          <w:lang w:eastAsia="zh-CN"/>
        </w:rPr>
        <w:t>中标人</w:t>
      </w:r>
      <w:r>
        <w:rPr>
          <w:rFonts w:hint="eastAsia" w:ascii="宋体" w:hAnsi="宋体"/>
        </w:rPr>
        <w:t>负责对家具进行安装调试。</w:t>
      </w:r>
      <w:r>
        <w:rPr>
          <w:rFonts w:hint="eastAsia" w:ascii="宋体" w:hAnsi="宋体"/>
          <w:lang w:eastAsia="zh-CN"/>
        </w:rPr>
        <w:t>采购人</w:t>
      </w:r>
      <w:r>
        <w:rPr>
          <w:rFonts w:hint="eastAsia" w:ascii="宋体" w:hAnsi="宋体"/>
        </w:rPr>
        <w:t>在签订本合同后，尽量不对该设计图纸再进行更改，如确实需要更改，需由双方协商后进行变更。</w:t>
      </w:r>
    </w:p>
    <w:p w14:paraId="79A5D048">
      <w:pPr>
        <w:adjustRightInd w:val="0"/>
        <w:spacing w:line="360" w:lineRule="auto"/>
        <w:rPr>
          <w:rFonts w:hint="eastAsia" w:ascii="宋体" w:hAnsi="宋体"/>
        </w:rPr>
      </w:pPr>
      <w:r>
        <w:rPr>
          <w:rFonts w:ascii="宋体" w:hAnsi="宋体"/>
        </w:rPr>
        <w:t>(</w:t>
      </w:r>
      <w:r>
        <w:rPr>
          <w:rFonts w:hint="eastAsia" w:ascii="宋体" w:hAnsi="宋体"/>
        </w:rPr>
        <w:t>4</w:t>
      </w:r>
      <w:r>
        <w:rPr>
          <w:rFonts w:ascii="宋体" w:hAnsi="宋体"/>
        </w:rPr>
        <w:t>)</w:t>
      </w:r>
      <w:r>
        <w:rPr>
          <w:rFonts w:hint="eastAsia" w:ascii="宋体" w:hAnsi="宋体"/>
          <w:lang w:eastAsia="zh-CN"/>
        </w:rPr>
        <w:t>中标人</w:t>
      </w:r>
      <w:r>
        <w:rPr>
          <w:rFonts w:hint="eastAsia" w:ascii="宋体" w:hAnsi="宋体"/>
        </w:rPr>
        <w:t>安装调试完毕后，由</w:t>
      </w:r>
      <w:r>
        <w:rPr>
          <w:rFonts w:hint="eastAsia" w:ascii="宋体" w:hAnsi="宋体"/>
          <w:lang w:eastAsia="zh-CN"/>
        </w:rPr>
        <w:t>采购人</w:t>
      </w:r>
      <w:r>
        <w:rPr>
          <w:rFonts w:hint="eastAsia" w:ascii="宋体" w:hAnsi="宋体"/>
        </w:rPr>
        <w:t>按照国家相关标准3日内验收完毕，</w:t>
      </w:r>
      <w:r>
        <w:rPr>
          <w:rFonts w:hint="eastAsia" w:ascii="宋体" w:hAnsi="宋体"/>
          <w:lang w:eastAsia="zh-CN"/>
        </w:rPr>
        <w:t>采购人</w:t>
      </w:r>
      <w:r>
        <w:rPr>
          <w:rFonts w:hint="eastAsia" w:ascii="宋体" w:hAnsi="宋体"/>
        </w:rPr>
        <w:t>在验收期限内未提出书面异议或无故拖延推迟验收，视为验收合格。</w:t>
      </w:r>
    </w:p>
    <w:p w14:paraId="2074C1F8">
      <w:pPr>
        <w:adjustRightInd w:val="0"/>
        <w:spacing w:line="360" w:lineRule="auto"/>
        <w:ind w:firstLine="420" w:firstLineChars="200"/>
        <w:rPr>
          <w:rFonts w:hint="eastAsia" w:ascii="宋体" w:hAnsi="宋体" w:eastAsia="宋体"/>
          <w:lang w:eastAsia="zh-CN"/>
        </w:rPr>
      </w:pPr>
      <w:r>
        <w:rPr>
          <w:rFonts w:ascii="宋体" w:hAnsi="宋体"/>
        </w:rPr>
        <w:t>2. 付款条件（进度和方式）</w:t>
      </w:r>
      <w:r>
        <w:rPr>
          <w:rFonts w:hint="eastAsia" w:ascii="宋体" w:hAnsi="宋体"/>
        </w:rPr>
        <w:t>：</w:t>
      </w:r>
      <w:r>
        <w:rPr>
          <w:rFonts w:hint="eastAsia" w:ascii="宋体" w:hAnsi="宋体"/>
        </w:rPr>
        <w:br w:type="textWrapping"/>
      </w:r>
      <w:r>
        <w:rPr>
          <w:rFonts w:ascii="宋体" w:hAnsi="宋体"/>
        </w:rPr>
        <w:t>(1)自合同签订之日起</w:t>
      </w:r>
      <w:r>
        <w:rPr>
          <w:rFonts w:hint="eastAsia" w:ascii="宋体" w:hAnsi="宋体"/>
          <w:lang w:val="en-US" w:eastAsia="zh-CN"/>
        </w:rPr>
        <w:t>14</w:t>
      </w:r>
      <w:r>
        <w:rPr>
          <w:rFonts w:hint="eastAsia" w:ascii="宋体" w:hAnsi="宋体"/>
        </w:rPr>
        <w:t>日内，</w:t>
      </w:r>
      <w:r>
        <w:rPr>
          <w:rFonts w:hint="eastAsia" w:ascii="宋体" w:hAnsi="宋体"/>
          <w:lang w:eastAsia="zh-CN"/>
        </w:rPr>
        <w:t>采购人</w:t>
      </w:r>
      <w:r>
        <w:rPr>
          <w:rFonts w:hint="eastAsia" w:ascii="宋体" w:hAnsi="宋体"/>
        </w:rPr>
        <w:t>应以银行转账方式向</w:t>
      </w:r>
      <w:r>
        <w:rPr>
          <w:rFonts w:hint="eastAsia" w:ascii="宋体" w:hAnsi="宋体"/>
          <w:lang w:eastAsia="zh-CN"/>
        </w:rPr>
        <w:t>中标人</w:t>
      </w:r>
      <w:r>
        <w:rPr>
          <w:rFonts w:hint="eastAsia" w:ascii="宋体" w:hAnsi="宋体"/>
        </w:rPr>
        <w:t>支付合同总价</w:t>
      </w:r>
      <w:r>
        <w:rPr>
          <w:rFonts w:hint="eastAsia" w:ascii="宋体" w:hAnsi="宋体"/>
          <w:lang w:val="en-US" w:eastAsia="zh-CN"/>
        </w:rPr>
        <w:t>30</w:t>
      </w:r>
      <w:r>
        <w:rPr>
          <w:rFonts w:hint="eastAsia" w:ascii="宋体" w:hAnsi="宋体"/>
        </w:rPr>
        <w:t>%的预付款，即人民币（大写）：</w:t>
      </w:r>
      <w:r>
        <w:rPr>
          <w:rFonts w:ascii="宋体" w:hAnsi="宋体"/>
          <w:u w:val="single"/>
        </w:rPr>
        <w:t xml:space="preserve"> </w:t>
      </w:r>
      <w:r>
        <w:rPr>
          <w:rFonts w:hint="eastAsia" w:ascii="宋体" w:hAnsi="宋体"/>
          <w:u w:val="single"/>
        </w:rPr>
        <w:t xml:space="preserve">        </w:t>
      </w:r>
      <w:r>
        <w:rPr>
          <w:rFonts w:hint="eastAsia" w:ascii="宋体" w:hAnsi="宋体"/>
        </w:rPr>
        <w:t>元整（RMB</w:t>
      </w:r>
      <w:r>
        <w:rPr>
          <w:rFonts w:hint="eastAsia" w:ascii="宋体" w:hAnsi="宋体"/>
          <w:u w:val="single"/>
        </w:rPr>
        <w:t xml:space="preserve">          </w:t>
      </w:r>
      <w:r>
        <w:rPr>
          <w:rFonts w:hint="eastAsia" w:ascii="宋体" w:hAnsi="宋体"/>
        </w:rPr>
        <w:t>元）。</w:t>
      </w:r>
    </w:p>
    <w:p w14:paraId="618624C6">
      <w:pPr>
        <w:widowControl/>
        <w:tabs>
          <w:tab w:val="left" w:pos="525"/>
        </w:tabs>
        <w:autoSpaceDE w:val="0"/>
        <w:autoSpaceDN w:val="0"/>
        <w:adjustRightInd w:val="0"/>
        <w:snapToGrid w:val="0"/>
        <w:spacing w:line="360" w:lineRule="auto"/>
        <w:textAlignment w:val="baseline"/>
        <w:rPr>
          <w:sz w:val="20"/>
          <w:szCs w:val="22"/>
        </w:rPr>
      </w:pPr>
      <w:r>
        <w:rPr>
          <w:rFonts w:hint="eastAsia" w:ascii="宋体" w:hAnsi="宋体"/>
          <w:sz w:val="20"/>
          <w:szCs w:val="22"/>
        </w:rPr>
        <w:t>(2)</w:t>
      </w:r>
      <w:r>
        <w:rPr>
          <w:rFonts w:ascii="Segoe UI" w:hAnsi="Segoe UI" w:eastAsia="Segoe UI" w:cs="Segoe UI"/>
          <w:i w:val="0"/>
          <w:iCs w:val="0"/>
          <w:caps w:val="0"/>
          <w:color w:val="0F1115"/>
          <w:spacing w:val="0"/>
          <w:sz w:val="22"/>
          <w:szCs w:val="22"/>
          <w:shd w:val="clear" w:fill="FFFFFF"/>
        </w:rPr>
        <w:t>家具全部安装完毕且经采购人验收合格之日起</w:t>
      </w:r>
      <w:r>
        <w:rPr>
          <w:rFonts w:hint="default" w:ascii="Segoe UI" w:hAnsi="Segoe UI" w:eastAsia="Segoe UI" w:cs="Segoe UI"/>
          <w:b/>
          <w:bCs/>
          <w:i w:val="0"/>
          <w:iCs w:val="0"/>
          <w:caps w:val="0"/>
          <w:color w:val="0F1115"/>
          <w:spacing w:val="0"/>
          <w:sz w:val="22"/>
          <w:szCs w:val="22"/>
          <w:shd w:val="clear" w:fill="FFFFFF"/>
        </w:rPr>
        <w:t>7日内</w:t>
      </w:r>
      <w:r>
        <w:rPr>
          <w:rFonts w:hint="default" w:ascii="Segoe UI" w:hAnsi="Segoe UI" w:eastAsia="Segoe UI" w:cs="Segoe UI"/>
          <w:i w:val="0"/>
          <w:iCs w:val="0"/>
          <w:caps w:val="0"/>
          <w:color w:val="0F1115"/>
          <w:spacing w:val="0"/>
          <w:sz w:val="22"/>
          <w:szCs w:val="22"/>
          <w:shd w:val="clear" w:fill="FFFFFF"/>
        </w:rPr>
        <w:t>，中标人应向采购人提交质量保函。采购人在</w:t>
      </w:r>
      <w:r>
        <w:rPr>
          <w:rFonts w:hint="default" w:ascii="Segoe UI" w:hAnsi="Segoe UI" w:eastAsia="Segoe UI" w:cs="Segoe UI"/>
          <w:b/>
          <w:bCs/>
          <w:i w:val="0"/>
          <w:iCs w:val="0"/>
          <w:caps w:val="0"/>
          <w:color w:val="0F1115"/>
          <w:spacing w:val="0"/>
          <w:sz w:val="22"/>
          <w:szCs w:val="22"/>
          <w:shd w:val="clear" w:fill="FFFFFF"/>
        </w:rPr>
        <w:t>收到有效质量保函后14日内</w:t>
      </w:r>
      <w:r>
        <w:rPr>
          <w:rFonts w:hint="default" w:ascii="Segoe UI" w:hAnsi="Segoe UI" w:eastAsia="Segoe UI" w:cs="Segoe UI"/>
          <w:i w:val="0"/>
          <w:iCs w:val="0"/>
          <w:caps w:val="0"/>
          <w:color w:val="0F1115"/>
          <w:spacing w:val="0"/>
          <w:sz w:val="22"/>
          <w:szCs w:val="22"/>
          <w:shd w:val="clear" w:fill="FFFFFF"/>
        </w:rPr>
        <w:t>，支付合同总价</w:t>
      </w:r>
      <w:r>
        <w:rPr>
          <w:rFonts w:hint="eastAsia" w:ascii="Segoe UI" w:hAnsi="Segoe UI" w:eastAsia="Segoe UI" w:cs="Segoe UI"/>
          <w:b/>
          <w:bCs/>
          <w:i w:val="0"/>
          <w:iCs w:val="0"/>
          <w:caps w:val="0"/>
          <w:color w:val="0F1115"/>
          <w:spacing w:val="0"/>
          <w:sz w:val="22"/>
          <w:szCs w:val="22"/>
          <w:shd w:val="clear" w:fill="FFFFFF"/>
          <w:lang w:val="en-US" w:eastAsia="zh-CN"/>
        </w:rPr>
        <w:t>70</w:t>
      </w:r>
      <w:r>
        <w:rPr>
          <w:rFonts w:hint="default" w:ascii="Segoe UI" w:hAnsi="Segoe UI" w:eastAsia="Segoe UI" w:cs="Segoe UI"/>
          <w:b/>
          <w:bCs/>
          <w:i w:val="0"/>
          <w:iCs w:val="0"/>
          <w:caps w:val="0"/>
          <w:color w:val="0F1115"/>
          <w:spacing w:val="0"/>
          <w:sz w:val="22"/>
          <w:szCs w:val="22"/>
          <w:shd w:val="clear" w:fill="FFFFFF"/>
        </w:rPr>
        <w:t>%</w:t>
      </w:r>
      <w:r>
        <w:rPr>
          <w:rFonts w:hint="default" w:ascii="Segoe UI" w:hAnsi="Segoe UI" w:eastAsia="Segoe UI" w:cs="Segoe UI"/>
          <w:i w:val="0"/>
          <w:iCs w:val="0"/>
          <w:caps w:val="0"/>
          <w:color w:val="0F1115"/>
          <w:spacing w:val="0"/>
          <w:sz w:val="22"/>
          <w:szCs w:val="22"/>
          <w:shd w:val="clear" w:fill="FFFFFF"/>
        </w:rPr>
        <w:t> 的剩余货款，即人民币（大写）：____________元整（RMB ____________元）。</w:t>
      </w:r>
    </w:p>
    <w:p w14:paraId="0EE83C5F">
      <w:pPr>
        <w:widowControl/>
        <w:tabs>
          <w:tab w:val="left" w:pos="525"/>
        </w:tabs>
        <w:autoSpaceDE w:val="0"/>
        <w:autoSpaceDN w:val="0"/>
        <w:adjustRightInd w:val="0"/>
        <w:snapToGrid w:val="0"/>
        <w:spacing w:line="360" w:lineRule="auto"/>
        <w:textAlignment w:val="baseline"/>
        <w:rPr>
          <w:rFonts w:hint="default" w:ascii="Times New Roman" w:hAnsi="Times New Roman"/>
          <w:sz w:val="20"/>
          <w:szCs w:val="22"/>
        </w:rPr>
      </w:pPr>
      <w:r>
        <w:rPr>
          <w:rFonts w:hint="eastAsia"/>
          <w:sz w:val="20"/>
          <w:szCs w:val="22"/>
          <w:lang w:eastAsia="zh-CN"/>
        </w:rPr>
        <w:t>（</w:t>
      </w:r>
      <w:r>
        <w:rPr>
          <w:rFonts w:hint="eastAsia"/>
          <w:sz w:val="20"/>
          <w:szCs w:val="22"/>
          <w:lang w:val="en-US" w:eastAsia="zh-CN"/>
        </w:rPr>
        <w:t>3）合同约定的付款金额及付款日期以本项目财政资金到位情况为准，若财政资金未按合同约定时间拨付，发包人不承担违约责任。</w:t>
      </w:r>
    </w:p>
    <w:p w14:paraId="7029057B">
      <w:pPr>
        <w:spacing w:line="360" w:lineRule="auto"/>
        <w:contextualSpacing/>
        <w:rPr>
          <w:rFonts w:hint="eastAsia" w:ascii="宋体" w:hAnsi="宋体"/>
        </w:rPr>
      </w:pPr>
      <w:r>
        <w:rPr>
          <w:rFonts w:ascii="宋体" w:hAnsi="宋体"/>
        </w:rPr>
        <w:t>3. 包装和运输（须满足《关于印发〈商品包装政府采购需求标准（试行）〉、〈快递包装政府采购需求标准（试行）〉的通知》（财办库﹝2020﹞123号））</w:t>
      </w:r>
    </w:p>
    <w:p w14:paraId="5F1449DC">
      <w:pPr>
        <w:spacing w:line="360" w:lineRule="auto"/>
        <w:rPr>
          <w:rFonts w:hint="eastAsia" w:ascii="宋体" w:hAnsi="宋体"/>
        </w:rPr>
      </w:pPr>
      <w:r>
        <w:rPr>
          <w:rFonts w:hint="eastAsia" w:ascii="宋体" w:hAnsi="宋体"/>
        </w:rPr>
        <w:t>3.1</w:t>
      </w:r>
      <w:r>
        <w:rPr>
          <w:rFonts w:hint="eastAsia" w:ascii="宋体" w:hAnsi="宋体"/>
        </w:rPr>
        <w:tab/>
      </w:r>
      <w:r>
        <w:rPr>
          <w:rFonts w:hint="eastAsia" w:ascii="宋体" w:hAnsi="宋体"/>
        </w:rPr>
        <w:t>、商品包装环保要求</w:t>
      </w:r>
    </w:p>
    <w:p w14:paraId="36907BB0">
      <w:pPr>
        <w:spacing w:line="360" w:lineRule="auto"/>
        <w:rPr>
          <w:rFonts w:hint="eastAsia" w:ascii="宋体" w:hAnsi="宋体"/>
        </w:rPr>
      </w:pPr>
      <w:r>
        <w:rPr>
          <w:rFonts w:hint="eastAsia" w:ascii="宋体" w:hAnsi="宋体"/>
        </w:rPr>
        <w:t>3.1.1.</w:t>
      </w:r>
      <w:r>
        <w:rPr>
          <w:rFonts w:hint="eastAsia" w:ascii="宋体" w:hAnsi="宋体"/>
        </w:rPr>
        <w:tab/>
      </w:r>
      <w:r>
        <w:rPr>
          <w:rFonts w:hint="eastAsia" w:ascii="宋体" w:hAnsi="宋体"/>
        </w:rPr>
        <w:t>商品包装层数不得超过3层，空隙率不大于40%；</w:t>
      </w:r>
    </w:p>
    <w:p w14:paraId="23B8FB81">
      <w:pPr>
        <w:spacing w:line="360" w:lineRule="auto"/>
        <w:rPr>
          <w:rFonts w:hint="eastAsia" w:ascii="宋体" w:hAnsi="宋体"/>
        </w:rPr>
      </w:pPr>
      <w:r>
        <w:rPr>
          <w:rFonts w:hint="eastAsia" w:ascii="宋体" w:hAnsi="宋体"/>
        </w:rPr>
        <w:t>3.1.2.</w:t>
      </w:r>
      <w:r>
        <w:rPr>
          <w:rFonts w:hint="eastAsia" w:ascii="宋体" w:hAnsi="宋体"/>
        </w:rPr>
        <w:tab/>
      </w:r>
      <w:r>
        <w:rPr>
          <w:rFonts w:hint="eastAsia" w:ascii="宋体" w:hAnsi="宋体"/>
        </w:rPr>
        <w:t>商品包装尽可能使用单一材质的包装材料，如因功能需求必需使用不同材质，不同材质间应便于分离；</w:t>
      </w:r>
    </w:p>
    <w:p w14:paraId="49229786">
      <w:pPr>
        <w:spacing w:line="360" w:lineRule="auto"/>
        <w:rPr>
          <w:rFonts w:hint="eastAsia" w:ascii="宋体" w:hAnsi="宋体"/>
        </w:rPr>
      </w:pPr>
      <w:r>
        <w:rPr>
          <w:rFonts w:hint="eastAsia" w:ascii="宋体" w:hAnsi="宋体"/>
        </w:rPr>
        <w:t>3.1.3.</w:t>
      </w:r>
      <w:r>
        <w:rPr>
          <w:rFonts w:hint="eastAsia" w:ascii="宋体" w:hAnsi="宋体"/>
        </w:rPr>
        <w:tab/>
      </w:r>
      <w:r>
        <w:rPr>
          <w:rFonts w:hint="eastAsia" w:ascii="宋体" w:hAnsi="宋体"/>
        </w:rPr>
        <w:t>商品包装中铅、汞、镉、六价铬的总含量应不大于100mg/kg；</w:t>
      </w:r>
    </w:p>
    <w:p w14:paraId="51399EE2">
      <w:pPr>
        <w:spacing w:line="360" w:lineRule="auto"/>
        <w:rPr>
          <w:rFonts w:hint="eastAsia" w:ascii="宋体" w:hAnsi="宋体"/>
        </w:rPr>
      </w:pPr>
      <w:r>
        <w:rPr>
          <w:rFonts w:hint="eastAsia" w:ascii="宋体" w:hAnsi="宋体"/>
        </w:rPr>
        <w:t>3.1.4.</w:t>
      </w:r>
      <w:r>
        <w:rPr>
          <w:rFonts w:hint="eastAsia" w:ascii="宋体" w:hAnsi="宋体"/>
        </w:rPr>
        <w:tab/>
      </w:r>
      <w:r>
        <w:rPr>
          <w:rFonts w:hint="eastAsia" w:ascii="宋体" w:hAnsi="宋体"/>
        </w:rPr>
        <w:t>商品包装印刷使用的油墨中挥发性有机化合物(VOCs)含量应不大于 5%（以重量计）；</w:t>
      </w:r>
    </w:p>
    <w:p w14:paraId="62F8973A">
      <w:pPr>
        <w:spacing w:line="360" w:lineRule="auto"/>
        <w:rPr>
          <w:rFonts w:hint="eastAsia" w:ascii="宋体" w:hAnsi="宋体"/>
        </w:rPr>
      </w:pPr>
      <w:r>
        <w:rPr>
          <w:rFonts w:hint="eastAsia" w:ascii="宋体" w:hAnsi="宋体"/>
        </w:rPr>
        <w:t>3.1.5.</w:t>
      </w:r>
      <w:r>
        <w:rPr>
          <w:rFonts w:hint="eastAsia" w:ascii="宋体" w:hAnsi="宋体"/>
        </w:rPr>
        <w:tab/>
      </w:r>
      <w:r>
        <w:rPr>
          <w:rFonts w:hint="eastAsia" w:ascii="宋体" w:hAnsi="宋体"/>
        </w:rPr>
        <w:t>塑料材质商品包装上呈现的印刷颜色不得超过6色；</w:t>
      </w:r>
    </w:p>
    <w:p w14:paraId="55A96C6C">
      <w:pPr>
        <w:spacing w:line="360" w:lineRule="auto"/>
        <w:rPr>
          <w:rFonts w:hint="eastAsia" w:ascii="宋体" w:hAnsi="宋体"/>
        </w:rPr>
      </w:pPr>
      <w:r>
        <w:rPr>
          <w:rFonts w:hint="eastAsia" w:ascii="宋体" w:hAnsi="宋体"/>
        </w:rPr>
        <w:t>3.1.6.</w:t>
      </w:r>
      <w:r>
        <w:rPr>
          <w:rFonts w:hint="eastAsia" w:ascii="宋体" w:hAnsi="宋体"/>
        </w:rPr>
        <w:tab/>
      </w:r>
      <w:r>
        <w:rPr>
          <w:rFonts w:hint="eastAsia" w:ascii="宋体" w:hAnsi="宋体"/>
        </w:rPr>
        <w:t>纸质商品包装应使用 75%以上的可再生纤维原料生产；</w:t>
      </w:r>
    </w:p>
    <w:p w14:paraId="28627A91">
      <w:pPr>
        <w:spacing w:line="360" w:lineRule="auto"/>
        <w:rPr>
          <w:rFonts w:hint="eastAsia" w:ascii="宋体" w:hAnsi="宋体"/>
        </w:rPr>
      </w:pPr>
      <w:r>
        <w:rPr>
          <w:rFonts w:hint="eastAsia" w:ascii="宋体" w:hAnsi="宋体"/>
        </w:rPr>
        <w:t>3.1.7.</w:t>
      </w:r>
      <w:r>
        <w:rPr>
          <w:rFonts w:hint="eastAsia" w:ascii="宋体" w:hAnsi="宋体"/>
        </w:rPr>
        <w:tab/>
      </w:r>
      <w:r>
        <w:rPr>
          <w:rFonts w:hint="eastAsia" w:ascii="宋体" w:hAnsi="宋体"/>
        </w:rPr>
        <w:t>木质商品包装的原料应来源于可持续性森林。</w:t>
      </w:r>
    </w:p>
    <w:p w14:paraId="1C88C432">
      <w:pPr>
        <w:spacing w:line="360" w:lineRule="auto"/>
        <w:rPr>
          <w:rFonts w:hint="eastAsia" w:ascii="宋体" w:hAnsi="宋体"/>
        </w:rPr>
      </w:pPr>
      <w:r>
        <w:rPr>
          <w:rFonts w:hint="eastAsia" w:ascii="宋体" w:hAnsi="宋体"/>
        </w:rPr>
        <w:t>3.2 商品的运输</w:t>
      </w:r>
    </w:p>
    <w:p w14:paraId="3A4D74B2">
      <w:pPr>
        <w:spacing w:line="360" w:lineRule="auto"/>
        <w:ind w:firstLine="420" w:firstLineChars="200"/>
        <w:rPr>
          <w:rFonts w:hint="eastAsia" w:ascii="宋体" w:hAnsi="宋体"/>
        </w:rPr>
      </w:pPr>
      <w:r>
        <w:rPr>
          <w:rFonts w:hint="eastAsia" w:ascii="宋体" w:hAnsi="宋体"/>
          <w:lang w:eastAsia="zh-CN"/>
        </w:rPr>
        <w:t>中标人</w:t>
      </w:r>
      <w:r>
        <w:rPr>
          <w:rFonts w:hint="eastAsia" w:ascii="宋体" w:hAnsi="宋体"/>
        </w:rPr>
        <w:t>负责产品的全程运输，采用防潮、防压、防撞包装，确保产品完好无损送达指定地点，</w:t>
      </w:r>
      <w:r>
        <w:rPr>
          <w:rFonts w:hint="eastAsia" w:ascii="宋体" w:hAnsi="宋体"/>
          <w:lang w:eastAsia="zh-CN"/>
        </w:rPr>
        <w:t>中标人</w:t>
      </w:r>
      <w:r>
        <w:rPr>
          <w:rFonts w:hint="eastAsia" w:ascii="宋体" w:hAnsi="宋体"/>
        </w:rPr>
        <w:t>向</w:t>
      </w:r>
      <w:r>
        <w:rPr>
          <w:rFonts w:hint="eastAsia" w:ascii="宋体" w:hAnsi="宋体"/>
          <w:lang w:eastAsia="zh-CN"/>
        </w:rPr>
        <w:t>采购人</w:t>
      </w:r>
      <w:r>
        <w:rPr>
          <w:rFonts w:hint="eastAsia" w:ascii="宋体" w:hAnsi="宋体"/>
        </w:rPr>
        <w:t>供货过程中发生的相关费用，包括运输费、装卸费、安装费、调试费、验收费及与“合同货物”有关的费用均由</w:t>
      </w:r>
      <w:r>
        <w:rPr>
          <w:rFonts w:hint="eastAsia" w:ascii="宋体" w:hAnsi="宋体"/>
          <w:lang w:eastAsia="zh-CN"/>
        </w:rPr>
        <w:t>中标人</w:t>
      </w:r>
      <w:r>
        <w:rPr>
          <w:rFonts w:hint="eastAsia" w:ascii="宋体" w:hAnsi="宋体"/>
        </w:rPr>
        <w:t>负担，运输过程中造成产品损坏、丢失的，由</w:t>
      </w:r>
      <w:r>
        <w:rPr>
          <w:rFonts w:hint="eastAsia" w:ascii="宋体" w:hAnsi="宋体"/>
          <w:lang w:eastAsia="zh-CN"/>
        </w:rPr>
        <w:t>中标人</w:t>
      </w:r>
      <w:r>
        <w:rPr>
          <w:rFonts w:hint="eastAsia" w:ascii="宋体" w:hAnsi="宋体"/>
        </w:rPr>
        <w:t>负责修复或更换，相关费用自行承担，包装物由</w:t>
      </w:r>
      <w:r>
        <w:rPr>
          <w:rFonts w:hint="eastAsia" w:ascii="宋体" w:hAnsi="宋体"/>
          <w:lang w:eastAsia="zh-CN"/>
        </w:rPr>
        <w:t>中标人</w:t>
      </w:r>
      <w:r>
        <w:rPr>
          <w:rFonts w:hint="eastAsia" w:ascii="宋体" w:hAnsi="宋体"/>
        </w:rPr>
        <w:t>清理收回。</w:t>
      </w:r>
    </w:p>
    <w:p w14:paraId="51BA80BA">
      <w:pPr>
        <w:spacing w:line="360" w:lineRule="auto"/>
        <w:contextualSpacing/>
        <w:rPr>
          <w:rFonts w:hint="eastAsia" w:ascii="宋体" w:hAnsi="宋体"/>
        </w:rPr>
      </w:pPr>
    </w:p>
    <w:p w14:paraId="4CAD7D63">
      <w:pPr>
        <w:spacing w:line="360" w:lineRule="auto"/>
        <w:contextualSpacing/>
        <w:rPr>
          <w:rFonts w:hint="eastAsia" w:ascii="宋体" w:hAnsi="宋体"/>
        </w:rPr>
      </w:pPr>
      <w:r>
        <w:rPr>
          <w:rFonts w:ascii="宋体" w:hAnsi="宋体"/>
        </w:rPr>
        <w:t>4. 售后服务</w:t>
      </w:r>
    </w:p>
    <w:p w14:paraId="0BDA115A">
      <w:pPr>
        <w:spacing w:line="360" w:lineRule="auto"/>
        <w:ind w:firstLine="420" w:firstLineChars="200"/>
        <w:contextualSpacing/>
        <w:rPr>
          <w:rFonts w:hint="eastAsia" w:ascii="宋体" w:hAnsi="宋体"/>
        </w:rPr>
      </w:pPr>
      <w:r>
        <w:rPr>
          <w:rFonts w:hint="eastAsia" w:ascii="宋体" w:hAnsi="宋体"/>
        </w:rPr>
        <w:t>本项目所有货物质量保证期要求不低于3年。质量保证期从货物供货、安装、调试正常且经采购人最终运行验收合格后开始计算。售后服务每年两次定期巡检，产品出现问题和损坏时中标</w:t>
      </w:r>
      <w:r>
        <w:rPr>
          <w:rFonts w:hint="eastAsia" w:ascii="宋体" w:hAnsi="宋体"/>
          <w:lang w:val="en-US" w:eastAsia="zh-CN"/>
        </w:rPr>
        <w:t>人</w:t>
      </w:r>
      <w:r>
        <w:rPr>
          <w:rFonts w:hint="eastAsia" w:ascii="宋体" w:hAnsi="宋体"/>
        </w:rPr>
        <w:t>应在1小时内响应，对需上门服务的情况，接到采购人通知后应在4小时内派技术人员赶到现场解决问题，无法维修时应替换故障产品。</w:t>
      </w:r>
    </w:p>
    <w:p w14:paraId="00FAADB6">
      <w:pPr>
        <w:spacing w:line="360" w:lineRule="auto"/>
        <w:rPr>
          <w:rFonts w:hint="eastAsia" w:ascii="宋体" w:hAnsi="宋体"/>
          <w:b/>
          <w:bCs/>
        </w:rPr>
      </w:pPr>
    </w:p>
    <w:p w14:paraId="0EFCE9E0">
      <w:pPr>
        <w:spacing w:line="360" w:lineRule="auto"/>
        <w:rPr>
          <w:rFonts w:hint="eastAsia" w:ascii="宋体" w:hAnsi="宋体"/>
          <w:b/>
          <w:bCs/>
        </w:rPr>
      </w:pPr>
      <w:r>
        <w:rPr>
          <w:rFonts w:hint="eastAsia" w:ascii="宋体" w:hAnsi="宋体"/>
          <w:b/>
          <w:bCs/>
        </w:rPr>
        <w:t>三、</w:t>
      </w:r>
      <w:r>
        <w:rPr>
          <w:rFonts w:ascii="宋体" w:hAnsi="宋体"/>
          <w:b/>
          <w:bCs/>
        </w:rPr>
        <w:t>技术要求</w:t>
      </w:r>
    </w:p>
    <w:p w14:paraId="50147E37">
      <w:pPr>
        <w:spacing w:line="360" w:lineRule="auto"/>
        <w:contextualSpacing/>
        <w:rPr>
          <w:rFonts w:hint="eastAsia" w:ascii="宋体" w:hAnsi="宋体"/>
        </w:rPr>
      </w:pPr>
      <w:r>
        <w:rPr>
          <w:rFonts w:ascii="宋体" w:hAnsi="宋体"/>
        </w:rPr>
        <w:t>1. 基本要求</w:t>
      </w:r>
    </w:p>
    <w:p w14:paraId="692757A0">
      <w:pPr>
        <w:spacing w:line="360" w:lineRule="auto"/>
        <w:contextualSpacing/>
        <w:rPr>
          <w:rFonts w:hint="eastAsia" w:ascii="宋体" w:hAnsi="宋体"/>
        </w:rPr>
      </w:pPr>
      <w:r>
        <w:rPr>
          <w:rFonts w:ascii="宋体" w:hAnsi="宋体"/>
        </w:rPr>
        <w:t>1.1 采购标的需实现的功能或者目标</w:t>
      </w:r>
    </w:p>
    <w:p w14:paraId="02B89801">
      <w:pPr>
        <w:pStyle w:val="6"/>
        <w:kinsoku w:val="0"/>
        <w:autoSpaceDE w:val="0"/>
        <w:autoSpaceDN w:val="0"/>
        <w:adjustRightInd w:val="0"/>
        <w:snapToGrid/>
        <w:spacing w:before="0" w:after="0"/>
        <w:ind w:left="210" w:hanging="210" w:hangingChars="100"/>
        <w:jc w:val="left"/>
        <w:textAlignment w:val="baseline"/>
        <w:rPr>
          <w:rFonts w:hint="eastAsia" w:ascii="宋体" w:hAnsi="宋体"/>
          <w:kern w:val="2"/>
          <w:sz w:val="21"/>
          <w:szCs w:val="24"/>
        </w:rPr>
      </w:pPr>
      <w:r>
        <w:rPr>
          <w:rFonts w:ascii="宋体" w:hAnsi="宋体"/>
          <w:kern w:val="2"/>
          <w:sz w:val="21"/>
          <w:szCs w:val="24"/>
        </w:rPr>
        <w:t>1.2 需执行的国家相关标准、行业标准、地方标准或者其他标准、规范</w:t>
      </w:r>
      <w:r>
        <w:rPr>
          <w:rFonts w:hint="eastAsia" w:ascii="宋体" w:hAnsi="宋体"/>
          <w:kern w:val="2"/>
          <w:sz w:val="21"/>
          <w:szCs w:val="24"/>
        </w:rPr>
        <w:t xml:space="preserve">           </w:t>
      </w:r>
    </w:p>
    <w:p w14:paraId="19C2180B">
      <w:pPr>
        <w:pStyle w:val="6"/>
        <w:kinsoku w:val="0"/>
        <w:autoSpaceDE w:val="0"/>
        <w:autoSpaceDN w:val="0"/>
        <w:adjustRightInd w:val="0"/>
        <w:snapToGrid/>
        <w:spacing w:before="0" w:after="0"/>
        <w:ind w:left="210" w:hanging="210" w:hangingChars="100"/>
        <w:jc w:val="left"/>
        <w:textAlignment w:val="baseline"/>
        <w:rPr>
          <w:rFonts w:hint="eastAsia" w:ascii="宋体" w:hAnsi="宋体"/>
          <w:kern w:val="2"/>
          <w:sz w:val="21"/>
          <w:szCs w:val="24"/>
        </w:rPr>
      </w:pPr>
      <w:r>
        <w:rPr>
          <w:rFonts w:hint="eastAsia" w:ascii="宋体" w:hAnsi="宋体"/>
          <w:kern w:val="2"/>
          <w:sz w:val="21"/>
          <w:szCs w:val="24"/>
        </w:rPr>
        <w:t>GB 18580—2017</w:t>
      </w:r>
      <w:r>
        <w:rPr>
          <w:rFonts w:hint="eastAsia" w:ascii="宋体" w:hAnsi="宋体"/>
          <w:kern w:val="2"/>
          <w:sz w:val="21"/>
          <w:szCs w:val="24"/>
        </w:rPr>
        <w:tab/>
      </w:r>
      <w:r>
        <w:rPr>
          <w:rFonts w:hint="eastAsia" w:ascii="宋体" w:hAnsi="宋体"/>
          <w:kern w:val="2"/>
          <w:sz w:val="21"/>
          <w:szCs w:val="24"/>
        </w:rPr>
        <w:t>室内装饰装修材料  人造板及其制品中甲醛释放限量</w:t>
      </w:r>
    </w:p>
    <w:p w14:paraId="0AAE3CAD">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GB 18581—2020</w:t>
      </w:r>
      <w:r>
        <w:rPr>
          <w:rFonts w:hint="eastAsia" w:ascii="宋体" w:hAnsi="宋体"/>
          <w:kern w:val="2"/>
          <w:sz w:val="21"/>
          <w:szCs w:val="24"/>
        </w:rPr>
        <w:tab/>
      </w:r>
      <w:r>
        <w:rPr>
          <w:rFonts w:hint="eastAsia" w:ascii="宋体" w:hAnsi="宋体"/>
          <w:kern w:val="2"/>
          <w:sz w:val="21"/>
          <w:szCs w:val="24"/>
        </w:rPr>
        <w:t>室内装饰装修材料  溶剂型木器涂料中有害物质限量</w:t>
      </w:r>
    </w:p>
    <w:p w14:paraId="2CD4D919">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GB 18583—2008</w:t>
      </w:r>
      <w:r>
        <w:rPr>
          <w:rFonts w:hint="eastAsia" w:ascii="宋体" w:hAnsi="宋体"/>
          <w:kern w:val="2"/>
          <w:sz w:val="21"/>
          <w:szCs w:val="24"/>
        </w:rPr>
        <w:tab/>
      </w:r>
      <w:r>
        <w:rPr>
          <w:rFonts w:hint="eastAsia" w:ascii="宋体" w:hAnsi="宋体"/>
          <w:kern w:val="2"/>
          <w:sz w:val="21"/>
          <w:szCs w:val="24"/>
        </w:rPr>
        <w:t>室内装饰装修材料  胶粘剂中有害物质限量</w:t>
      </w:r>
    </w:p>
    <w:p w14:paraId="42912BFA">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GB 18584—2024</w:t>
      </w:r>
      <w:r>
        <w:rPr>
          <w:rFonts w:hint="eastAsia" w:ascii="宋体" w:hAnsi="宋体"/>
          <w:kern w:val="2"/>
          <w:sz w:val="21"/>
          <w:szCs w:val="24"/>
        </w:rPr>
        <w:tab/>
      </w:r>
      <w:r>
        <w:rPr>
          <w:rFonts w:hint="eastAsia" w:ascii="宋体" w:hAnsi="宋体"/>
          <w:kern w:val="2"/>
          <w:sz w:val="21"/>
          <w:szCs w:val="24"/>
        </w:rPr>
        <w:t>室内装饰装修材料  木家具中有害物质限量</w:t>
      </w:r>
    </w:p>
    <w:p w14:paraId="4462B353">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GB/T 39600—2021</w:t>
      </w:r>
      <w:r>
        <w:rPr>
          <w:rFonts w:hint="eastAsia" w:ascii="宋体" w:hAnsi="宋体"/>
          <w:kern w:val="2"/>
          <w:sz w:val="21"/>
          <w:szCs w:val="24"/>
        </w:rPr>
        <w:tab/>
      </w:r>
      <w:r>
        <w:rPr>
          <w:rFonts w:hint="eastAsia" w:ascii="宋体" w:hAnsi="宋体"/>
          <w:kern w:val="2"/>
          <w:sz w:val="21"/>
          <w:szCs w:val="24"/>
        </w:rPr>
        <w:t>人造板及其制品甲醛释放量分级</w:t>
      </w:r>
    </w:p>
    <w:p w14:paraId="58A53525">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GB/T 35607—2024</w:t>
      </w:r>
      <w:r>
        <w:rPr>
          <w:rFonts w:hint="eastAsia" w:ascii="宋体" w:hAnsi="宋体"/>
          <w:kern w:val="2"/>
          <w:sz w:val="21"/>
          <w:szCs w:val="24"/>
        </w:rPr>
        <w:tab/>
      </w:r>
      <w:r>
        <w:rPr>
          <w:rFonts w:hint="eastAsia" w:ascii="宋体" w:hAnsi="宋体"/>
          <w:kern w:val="2"/>
          <w:sz w:val="21"/>
          <w:szCs w:val="24"/>
        </w:rPr>
        <w:t>绿色产品评价 家具</w:t>
      </w:r>
    </w:p>
    <w:p w14:paraId="6596F3D9">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GB/T 3324—2024</w:t>
      </w:r>
      <w:r>
        <w:rPr>
          <w:rFonts w:hint="eastAsia" w:ascii="宋体" w:hAnsi="宋体"/>
          <w:kern w:val="2"/>
          <w:sz w:val="21"/>
          <w:szCs w:val="24"/>
        </w:rPr>
        <w:tab/>
      </w:r>
      <w:r>
        <w:rPr>
          <w:rFonts w:hint="eastAsia" w:ascii="宋体" w:hAnsi="宋体"/>
          <w:kern w:val="2"/>
          <w:sz w:val="21"/>
          <w:szCs w:val="24"/>
        </w:rPr>
        <w:t>木家具通用技术条件</w:t>
      </w:r>
    </w:p>
    <w:p w14:paraId="22A4682B">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GB/T 3325—2024</w:t>
      </w:r>
      <w:r>
        <w:rPr>
          <w:rFonts w:hint="eastAsia" w:ascii="宋体" w:hAnsi="宋体"/>
          <w:kern w:val="2"/>
          <w:sz w:val="21"/>
          <w:szCs w:val="24"/>
        </w:rPr>
        <w:tab/>
      </w:r>
      <w:r>
        <w:rPr>
          <w:rFonts w:hint="eastAsia" w:ascii="宋体" w:hAnsi="宋体"/>
          <w:kern w:val="2"/>
          <w:sz w:val="21"/>
          <w:szCs w:val="24"/>
        </w:rPr>
        <w:t>金属家具通用技术条件</w:t>
      </w:r>
    </w:p>
    <w:p w14:paraId="493A26BD">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GB/T 3326-2016</w:t>
      </w:r>
      <w:r>
        <w:rPr>
          <w:rFonts w:hint="eastAsia" w:ascii="宋体" w:hAnsi="宋体"/>
          <w:kern w:val="2"/>
          <w:sz w:val="21"/>
          <w:szCs w:val="24"/>
        </w:rPr>
        <w:tab/>
      </w:r>
      <w:r>
        <w:rPr>
          <w:rFonts w:hint="eastAsia" w:ascii="宋体" w:hAnsi="宋体"/>
          <w:kern w:val="2"/>
          <w:sz w:val="21"/>
          <w:szCs w:val="24"/>
        </w:rPr>
        <w:t>家具 桌、椅、凳类主要尺寸</w:t>
      </w:r>
    </w:p>
    <w:p w14:paraId="5F21CFA7">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GB/T 3327-2016</w:t>
      </w:r>
      <w:r>
        <w:rPr>
          <w:rFonts w:hint="eastAsia" w:ascii="宋体" w:hAnsi="宋体"/>
          <w:kern w:val="2"/>
          <w:sz w:val="21"/>
          <w:szCs w:val="24"/>
        </w:rPr>
        <w:tab/>
      </w:r>
      <w:r>
        <w:rPr>
          <w:rFonts w:hint="eastAsia" w:ascii="宋体" w:hAnsi="宋体"/>
          <w:kern w:val="2"/>
          <w:sz w:val="21"/>
          <w:szCs w:val="24"/>
        </w:rPr>
        <w:t>家具 柜类主要尺寸</w:t>
      </w:r>
    </w:p>
    <w:p w14:paraId="04651580">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GB/T 3328—2016</w:t>
      </w:r>
      <w:r>
        <w:rPr>
          <w:rFonts w:hint="eastAsia" w:ascii="宋体" w:hAnsi="宋体"/>
          <w:kern w:val="2"/>
          <w:sz w:val="21"/>
          <w:szCs w:val="24"/>
        </w:rPr>
        <w:tab/>
      </w:r>
      <w:r>
        <w:rPr>
          <w:rFonts w:hint="eastAsia" w:ascii="宋体" w:hAnsi="宋体"/>
          <w:kern w:val="2"/>
          <w:sz w:val="21"/>
          <w:szCs w:val="24"/>
        </w:rPr>
        <w:t>家具 床类主要尺寸</w:t>
      </w:r>
    </w:p>
    <w:p w14:paraId="6E151A19">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GB/T 4897—2015</w:t>
      </w:r>
      <w:r>
        <w:rPr>
          <w:rFonts w:hint="eastAsia" w:ascii="宋体" w:hAnsi="宋体"/>
          <w:kern w:val="2"/>
          <w:sz w:val="21"/>
          <w:szCs w:val="24"/>
        </w:rPr>
        <w:tab/>
      </w:r>
      <w:r>
        <w:rPr>
          <w:rFonts w:hint="eastAsia" w:ascii="宋体" w:hAnsi="宋体"/>
          <w:kern w:val="2"/>
          <w:sz w:val="21"/>
          <w:szCs w:val="24"/>
        </w:rPr>
        <w:t>刨花板</w:t>
      </w:r>
    </w:p>
    <w:p w14:paraId="45912CB5">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GB/T 11718—2009</w:t>
      </w:r>
      <w:r>
        <w:rPr>
          <w:rFonts w:hint="eastAsia" w:ascii="宋体" w:hAnsi="宋体"/>
          <w:kern w:val="2"/>
          <w:sz w:val="21"/>
          <w:szCs w:val="24"/>
        </w:rPr>
        <w:tab/>
      </w:r>
      <w:r>
        <w:rPr>
          <w:rFonts w:hint="eastAsia" w:ascii="宋体" w:hAnsi="宋体"/>
          <w:kern w:val="2"/>
          <w:sz w:val="21"/>
          <w:szCs w:val="24"/>
        </w:rPr>
        <w:t>中密度纤维板</w:t>
      </w:r>
    </w:p>
    <w:p w14:paraId="4046DD09">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GB/T 9846—2021</w:t>
      </w:r>
      <w:r>
        <w:rPr>
          <w:rFonts w:hint="eastAsia" w:ascii="宋体" w:hAnsi="宋体"/>
          <w:kern w:val="2"/>
          <w:sz w:val="21"/>
          <w:szCs w:val="24"/>
        </w:rPr>
        <w:tab/>
      </w:r>
      <w:r>
        <w:rPr>
          <w:rFonts w:hint="eastAsia" w:ascii="宋体" w:hAnsi="宋体"/>
          <w:kern w:val="2"/>
          <w:sz w:val="21"/>
          <w:szCs w:val="24"/>
        </w:rPr>
        <w:t>普通胶合板</w:t>
      </w:r>
    </w:p>
    <w:p w14:paraId="0398B144">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GB/T 15102—2017</w:t>
      </w:r>
      <w:r>
        <w:rPr>
          <w:rFonts w:hint="eastAsia" w:ascii="宋体" w:hAnsi="宋体"/>
          <w:kern w:val="2"/>
          <w:sz w:val="21"/>
          <w:szCs w:val="24"/>
        </w:rPr>
        <w:tab/>
      </w:r>
      <w:r>
        <w:rPr>
          <w:rFonts w:hint="eastAsia" w:ascii="宋体" w:hAnsi="宋体"/>
          <w:kern w:val="2"/>
          <w:sz w:val="21"/>
          <w:szCs w:val="24"/>
        </w:rPr>
        <w:t>浸渍胶膜纸饰面人造板</w:t>
      </w:r>
    </w:p>
    <w:p w14:paraId="13E1F895">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GB/T 7911—2024</w:t>
      </w:r>
      <w:r>
        <w:rPr>
          <w:rFonts w:hint="eastAsia" w:ascii="宋体" w:hAnsi="宋体"/>
          <w:kern w:val="2"/>
          <w:sz w:val="21"/>
          <w:szCs w:val="24"/>
        </w:rPr>
        <w:tab/>
      </w:r>
      <w:r>
        <w:rPr>
          <w:rFonts w:hint="eastAsia" w:ascii="宋体" w:hAnsi="宋体"/>
          <w:kern w:val="2"/>
          <w:sz w:val="21"/>
          <w:szCs w:val="24"/>
        </w:rPr>
        <w:t>热固性树脂浸渍纸高压装饰层级板</w:t>
      </w:r>
    </w:p>
    <w:p w14:paraId="68133A17">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GB/T 16799—2018</w:t>
      </w:r>
      <w:r>
        <w:rPr>
          <w:rFonts w:hint="eastAsia" w:ascii="宋体" w:hAnsi="宋体"/>
          <w:kern w:val="2"/>
          <w:sz w:val="21"/>
          <w:szCs w:val="24"/>
        </w:rPr>
        <w:tab/>
      </w:r>
      <w:r>
        <w:rPr>
          <w:rFonts w:hint="eastAsia" w:ascii="宋体" w:hAnsi="宋体"/>
          <w:kern w:val="2"/>
          <w:sz w:val="21"/>
          <w:szCs w:val="24"/>
        </w:rPr>
        <w:t>家具用皮革</w:t>
      </w:r>
    </w:p>
    <w:p w14:paraId="6D1F9908">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QB/T 2280-2016</w:t>
      </w:r>
      <w:r>
        <w:rPr>
          <w:rFonts w:hint="eastAsia" w:ascii="宋体" w:hAnsi="宋体"/>
          <w:kern w:val="2"/>
          <w:sz w:val="21"/>
          <w:szCs w:val="24"/>
        </w:rPr>
        <w:tab/>
      </w:r>
      <w:r>
        <w:rPr>
          <w:rFonts w:hint="eastAsia" w:ascii="宋体" w:hAnsi="宋体"/>
          <w:kern w:val="2"/>
          <w:sz w:val="21"/>
          <w:szCs w:val="24"/>
        </w:rPr>
        <w:t>办公椅</w:t>
      </w:r>
    </w:p>
    <w:p w14:paraId="5213BF92">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QB/T 2384-2021</w:t>
      </w:r>
      <w:r>
        <w:rPr>
          <w:rFonts w:hint="eastAsia" w:ascii="宋体" w:hAnsi="宋体"/>
          <w:kern w:val="2"/>
          <w:sz w:val="21"/>
          <w:szCs w:val="24"/>
        </w:rPr>
        <w:tab/>
      </w:r>
      <w:r>
        <w:rPr>
          <w:rFonts w:hint="eastAsia" w:ascii="宋体" w:hAnsi="宋体"/>
          <w:kern w:val="2"/>
          <w:sz w:val="21"/>
          <w:szCs w:val="24"/>
        </w:rPr>
        <w:t>木制写字桌</w:t>
      </w:r>
    </w:p>
    <w:p w14:paraId="18C457FA">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QB/T 2530-2023</w:t>
      </w:r>
      <w:r>
        <w:rPr>
          <w:rFonts w:hint="eastAsia" w:ascii="宋体" w:hAnsi="宋体"/>
          <w:kern w:val="2"/>
          <w:sz w:val="21"/>
          <w:szCs w:val="24"/>
        </w:rPr>
        <w:tab/>
      </w:r>
      <w:r>
        <w:rPr>
          <w:rFonts w:hint="eastAsia" w:ascii="宋体" w:hAnsi="宋体"/>
          <w:kern w:val="2"/>
          <w:sz w:val="21"/>
          <w:szCs w:val="24"/>
        </w:rPr>
        <w:t>木制柜</w:t>
      </w:r>
    </w:p>
    <w:p w14:paraId="2BEC72D1">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QB/T 1952.1-2023</w:t>
      </w:r>
      <w:r>
        <w:rPr>
          <w:rFonts w:hint="eastAsia" w:ascii="宋体" w:hAnsi="宋体"/>
          <w:kern w:val="2"/>
          <w:sz w:val="21"/>
          <w:szCs w:val="24"/>
        </w:rPr>
        <w:tab/>
      </w:r>
      <w:r>
        <w:rPr>
          <w:rFonts w:hint="eastAsia" w:ascii="宋体" w:hAnsi="宋体"/>
          <w:kern w:val="2"/>
          <w:sz w:val="21"/>
          <w:szCs w:val="24"/>
        </w:rPr>
        <w:t>软体家具  沙发</w:t>
      </w:r>
    </w:p>
    <w:p w14:paraId="7C2F3889">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QB/T 1952.2-2023</w:t>
      </w:r>
      <w:r>
        <w:rPr>
          <w:rFonts w:hint="eastAsia" w:ascii="宋体" w:hAnsi="宋体"/>
          <w:kern w:val="2"/>
          <w:sz w:val="21"/>
          <w:szCs w:val="24"/>
        </w:rPr>
        <w:tab/>
      </w:r>
      <w:r>
        <w:rPr>
          <w:rFonts w:hint="eastAsia" w:ascii="宋体" w:hAnsi="宋体"/>
          <w:kern w:val="2"/>
          <w:sz w:val="21"/>
          <w:szCs w:val="24"/>
        </w:rPr>
        <w:t>软体家具  弹簧软床垫</w:t>
      </w:r>
    </w:p>
    <w:p w14:paraId="2D520BAC">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GB/T 26706-2025</w:t>
      </w:r>
      <w:r>
        <w:rPr>
          <w:rFonts w:hint="eastAsia" w:ascii="宋体" w:hAnsi="宋体"/>
          <w:kern w:val="2"/>
          <w:sz w:val="21"/>
          <w:szCs w:val="24"/>
        </w:rPr>
        <w:tab/>
      </w:r>
      <w:r>
        <w:rPr>
          <w:rFonts w:hint="eastAsia" w:ascii="宋体" w:hAnsi="宋体"/>
          <w:kern w:val="2"/>
          <w:sz w:val="21"/>
          <w:szCs w:val="24"/>
        </w:rPr>
        <w:t>软体家具  棕纤维弹性床垫</w:t>
      </w:r>
    </w:p>
    <w:p w14:paraId="207B1495">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QB/T 4462-2023</w:t>
      </w:r>
      <w:r>
        <w:rPr>
          <w:rFonts w:hint="eastAsia" w:ascii="宋体" w:hAnsi="宋体"/>
          <w:kern w:val="2"/>
          <w:sz w:val="21"/>
          <w:szCs w:val="24"/>
        </w:rPr>
        <w:tab/>
      </w:r>
      <w:r>
        <w:rPr>
          <w:rFonts w:hint="eastAsia" w:ascii="宋体" w:hAnsi="宋体"/>
          <w:kern w:val="2"/>
          <w:sz w:val="21"/>
          <w:szCs w:val="24"/>
        </w:rPr>
        <w:t>软体家具  手动折叠沙发</w:t>
      </w:r>
    </w:p>
    <w:p w14:paraId="75485092">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QB/T 4460-2023</w:t>
      </w:r>
      <w:r>
        <w:rPr>
          <w:rFonts w:hint="eastAsia" w:ascii="宋体" w:hAnsi="宋体"/>
          <w:kern w:val="2"/>
          <w:sz w:val="21"/>
          <w:szCs w:val="24"/>
        </w:rPr>
        <w:tab/>
      </w:r>
      <w:r>
        <w:rPr>
          <w:rFonts w:hint="eastAsia" w:ascii="宋体" w:hAnsi="宋体"/>
          <w:kern w:val="2"/>
          <w:sz w:val="21"/>
          <w:szCs w:val="24"/>
        </w:rPr>
        <w:t>折叠会议桌</w:t>
      </w:r>
    </w:p>
    <w:p w14:paraId="5C20E5E5">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QB/T 4455-2013</w:t>
      </w:r>
      <w:r>
        <w:rPr>
          <w:rFonts w:hint="eastAsia" w:ascii="宋体" w:hAnsi="宋体"/>
          <w:kern w:val="2"/>
          <w:sz w:val="21"/>
          <w:szCs w:val="24"/>
        </w:rPr>
        <w:tab/>
      </w:r>
      <w:r>
        <w:rPr>
          <w:rFonts w:hint="eastAsia" w:ascii="宋体" w:hAnsi="宋体"/>
          <w:kern w:val="2"/>
          <w:sz w:val="21"/>
          <w:szCs w:val="24"/>
        </w:rPr>
        <w:t>衣帽架</w:t>
      </w:r>
    </w:p>
    <w:p w14:paraId="5E43D0D2">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QB/T 4467-2013</w:t>
      </w:r>
      <w:r>
        <w:rPr>
          <w:rFonts w:hint="eastAsia" w:ascii="宋体" w:hAnsi="宋体"/>
          <w:kern w:val="2"/>
          <w:sz w:val="21"/>
          <w:szCs w:val="24"/>
        </w:rPr>
        <w:tab/>
      </w:r>
      <w:r>
        <w:rPr>
          <w:rFonts w:hint="eastAsia" w:ascii="宋体" w:hAnsi="宋体"/>
          <w:kern w:val="2"/>
          <w:sz w:val="21"/>
          <w:szCs w:val="24"/>
        </w:rPr>
        <w:t>茶几</w:t>
      </w:r>
    </w:p>
    <w:p w14:paraId="4362979B">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GB/T 24821-2024</w:t>
      </w:r>
      <w:r>
        <w:rPr>
          <w:rFonts w:hint="eastAsia" w:ascii="宋体" w:hAnsi="宋体"/>
          <w:kern w:val="2"/>
          <w:sz w:val="21"/>
          <w:szCs w:val="24"/>
        </w:rPr>
        <w:tab/>
      </w:r>
      <w:r>
        <w:rPr>
          <w:rFonts w:hint="eastAsia" w:ascii="宋体" w:hAnsi="宋体"/>
          <w:kern w:val="2"/>
          <w:sz w:val="21"/>
          <w:szCs w:val="24"/>
        </w:rPr>
        <w:t>餐桌椅</w:t>
      </w:r>
    </w:p>
    <w:p w14:paraId="5D5DA603">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GB/T 13668—2015</w:t>
      </w:r>
      <w:r>
        <w:rPr>
          <w:rFonts w:hint="eastAsia" w:ascii="宋体" w:hAnsi="宋体"/>
          <w:kern w:val="2"/>
          <w:sz w:val="21"/>
          <w:szCs w:val="24"/>
        </w:rPr>
        <w:tab/>
      </w:r>
      <w:r>
        <w:rPr>
          <w:rFonts w:hint="eastAsia" w:ascii="宋体" w:hAnsi="宋体"/>
          <w:kern w:val="2"/>
          <w:sz w:val="21"/>
          <w:szCs w:val="24"/>
        </w:rPr>
        <w:t>钢制文件柜、资料柜通用技术条件</w:t>
      </w:r>
    </w:p>
    <w:p w14:paraId="74346858">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GB/T 11253—2019</w:t>
      </w:r>
      <w:r>
        <w:rPr>
          <w:rFonts w:hint="eastAsia" w:ascii="宋体" w:hAnsi="宋体"/>
          <w:kern w:val="2"/>
          <w:sz w:val="21"/>
          <w:szCs w:val="24"/>
        </w:rPr>
        <w:tab/>
      </w:r>
      <w:r>
        <w:rPr>
          <w:rFonts w:hint="eastAsia" w:ascii="宋体" w:hAnsi="宋体"/>
          <w:kern w:val="2"/>
          <w:sz w:val="21"/>
          <w:szCs w:val="24"/>
        </w:rPr>
        <w:t>碳素结构钢 冷轧薄钢板和钢带</w:t>
      </w:r>
    </w:p>
    <w:p w14:paraId="64641B6C">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GB/T 37652-2019 家具售后服务要求</w:t>
      </w:r>
    </w:p>
    <w:p w14:paraId="6EB40657">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本项目适用所有现行有效的相关国家、行业以及地方规范、规程和标准，上述规范、规程和标准均指它们各自的最新版本，按其中最高的要求或最严格的标准执行。</w:t>
      </w:r>
    </w:p>
    <w:p w14:paraId="544881AA">
      <w:pPr>
        <w:pStyle w:val="6"/>
        <w:kinsoku w:val="0"/>
        <w:autoSpaceDE w:val="0"/>
        <w:autoSpaceDN w:val="0"/>
        <w:adjustRightInd w:val="0"/>
        <w:snapToGrid/>
        <w:spacing w:before="0" w:after="0"/>
        <w:jc w:val="left"/>
        <w:textAlignment w:val="baseline"/>
        <w:rPr>
          <w:rFonts w:hint="eastAsia" w:ascii="宋体" w:hAnsi="宋体"/>
          <w:kern w:val="2"/>
          <w:sz w:val="21"/>
          <w:szCs w:val="24"/>
        </w:rPr>
      </w:pPr>
      <w:r>
        <w:rPr>
          <w:rFonts w:hint="eastAsia" w:ascii="宋体" w:hAnsi="宋体"/>
          <w:kern w:val="2"/>
          <w:sz w:val="21"/>
          <w:szCs w:val="24"/>
        </w:rPr>
        <w:t>2、验收标准</w:t>
      </w:r>
    </w:p>
    <w:p w14:paraId="18ACE5DD">
      <w:pPr>
        <w:widowControl/>
        <w:spacing w:line="360" w:lineRule="auto"/>
        <w:rPr>
          <w:rFonts w:hint="eastAsia" w:ascii="宋体" w:hAnsi="宋体"/>
        </w:rPr>
      </w:pPr>
      <w:r>
        <w:rPr>
          <w:rFonts w:hint="eastAsia" w:ascii="宋体" w:hAnsi="宋体"/>
        </w:rPr>
        <w:t>（1）环保强制：GB 18584-2024《家具中有害物质限量》、GB 18580-2025《人造板甲醛释放限量》、GB 18401《纺织品安全规范》；</w:t>
      </w:r>
    </w:p>
    <w:p w14:paraId="231FFE4F">
      <w:pPr>
        <w:widowControl/>
        <w:spacing w:line="360" w:lineRule="auto"/>
        <w:rPr>
          <w:rFonts w:hint="eastAsia" w:ascii="宋体" w:hAnsi="宋体"/>
        </w:rPr>
      </w:pPr>
      <w:r>
        <w:rPr>
          <w:rFonts w:hint="eastAsia" w:ascii="宋体" w:hAnsi="宋体"/>
        </w:rPr>
        <w:t>（2）安全强制：GB 28008-2024《家具结构安全技术规范》；</w:t>
      </w:r>
    </w:p>
    <w:p w14:paraId="6F46CB6F">
      <w:pPr>
        <w:widowControl/>
        <w:spacing w:line="360" w:lineRule="auto"/>
        <w:rPr>
          <w:rFonts w:hint="eastAsia" w:ascii="宋体" w:hAnsi="宋体"/>
        </w:rPr>
      </w:pPr>
      <w:r>
        <w:rPr>
          <w:rFonts w:hint="eastAsia" w:ascii="宋体" w:hAnsi="宋体"/>
        </w:rPr>
        <w:t>（3）产品通用：GB/T 3324 木家具、GB/T 3325 金属家具、QB/T 2280 办公椅；</w:t>
      </w:r>
    </w:p>
    <w:p w14:paraId="72CD45EC">
      <w:pPr>
        <w:widowControl/>
        <w:spacing w:line="360" w:lineRule="auto"/>
        <w:rPr>
          <w:rFonts w:hint="eastAsia" w:ascii="宋体" w:hAnsi="宋体"/>
        </w:rPr>
      </w:pPr>
      <w:r>
        <w:rPr>
          <w:rFonts w:hint="eastAsia" w:ascii="宋体" w:hAnsi="宋体"/>
        </w:rPr>
        <w:t>（4）供方提供带 CMA 资质的成品型式检测报告。</w:t>
      </w:r>
    </w:p>
    <w:p w14:paraId="5A4EC43F">
      <w:pPr>
        <w:widowControl/>
        <w:spacing w:line="360" w:lineRule="auto"/>
        <w:rPr>
          <w:rFonts w:hint="eastAsia" w:ascii="宋体" w:hAnsi="宋体"/>
        </w:rPr>
      </w:pPr>
      <w:r>
        <w:rPr>
          <w:rFonts w:hint="eastAsia" w:ascii="宋体" w:hAnsi="宋体"/>
        </w:rPr>
        <w:t>3.其他要求：</w:t>
      </w:r>
    </w:p>
    <w:p w14:paraId="412FC308">
      <w:pPr>
        <w:widowControl/>
        <w:spacing w:line="360" w:lineRule="auto"/>
        <w:rPr>
          <w:rFonts w:hint="eastAsia" w:ascii="宋体" w:hAnsi="宋体"/>
        </w:rPr>
      </w:pPr>
      <w:r>
        <w:rPr>
          <w:rFonts w:hint="eastAsia" w:ascii="宋体" w:hAnsi="宋体"/>
        </w:rPr>
        <w:t>投标人进行安装以及配合本项目的其它有关工作，所需费用包含在投标报价内。</w:t>
      </w:r>
    </w:p>
    <w:p w14:paraId="364E68C2">
      <w:pPr>
        <w:widowControl/>
        <w:spacing w:line="360" w:lineRule="auto"/>
        <w:rPr>
          <w:rFonts w:hint="eastAsia" w:ascii="宋体" w:hAnsi="宋体"/>
        </w:rPr>
      </w:pPr>
    </w:p>
    <w:p w14:paraId="79818040">
      <w:pPr>
        <w:spacing w:line="360" w:lineRule="auto"/>
        <w:rPr>
          <w:rFonts w:hint="eastAsia" w:ascii="宋体" w:hAnsi="宋体" w:cs="宋体"/>
          <w:sz w:val="24"/>
        </w:rPr>
      </w:pPr>
      <w:r>
        <w:rPr>
          <w:rFonts w:hint="eastAsia" w:ascii="宋体" w:hAnsi="宋体" w:cs="宋体"/>
          <w:sz w:val="24"/>
        </w:rPr>
        <w:t>环保专项承诺:</w:t>
      </w:r>
    </w:p>
    <w:p w14:paraId="7964DE27">
      <w:pPr>
        <w:spacing w:line="360" w:lineRule="auto"/>
        <w:ind w:firstLine="482" w:firstLineChars="200"/>
        <w:rPr>
          <w:rFonts w:hint="eastAsia" w:ascii="宋体" w:hAnsi="宋体" w:cs="宋体"/>
          <w:b w:val="0"/>
          <w:bCs w:val="0"/>
          <w:sz w:val="24"/>
        </w:rPr>
      </w:pPr>
      <w:r>
        <w:rPr>
          <w:rFonts w:hint="eastAsia" w:ascii="宋体" w:hAnsi="宋体" w:cs="宋体"/>
          <w:b/>
          <w:bCs/>
          <w:sz w:val="24"/>
        </w:rPr>
        <w:t>★</w:t>
      </w:r>
      <w:r>
        <w:rPr>
          <w:rFonts w:hint="eastAsia" w:ascii="宋体" w:hAnsi="宋体" w:cs="宋体"/>
          <w:b w:val="0"/>
          <w:bCs w:val="0"/>
          <w:sz w:val="24"/>
        </w:rPr>
        <w:t>（一）根据《北京市财政局 北京市生态环境局关于政府采购推广使用低挥发性有机化合物（VOCs）有关事项的通知》（京财采购〔2020〕2381号）文件的规定，政府采购货物、工程和服务项目中涉及涂料、胶黏剂、油墨、清洗剂等挥发性有机物产品的，属于强制性标准的，</w:t>
      </w:r>
      <w:r>
        <w:rPr>
          <w:rFonts w:hint="eastAsia" w:ascii="宋体" w:hAnsi="宋体" w:cs="宋体"/>
          <w:b/>
          <w:bCs/>
          <w:sz w:val="24"/>
        </w:rPr>
        <w:t>参与本项目的投标人应当执行符合本市和国家的VOCs含量限值标准，并按招标文件规定格式提供专项承诺，未提供该承诺的按照无效投标处理。</w:t>
      </w:r>
      <w:r>
        <w:rPr>
          <w:rFonts w:hint="eastAsia" w:ascii="宋体" w:hAnsi="宋体" w:cs="宋体"/>
          <w:b w:val="0"/>
          <w:bCs w:val="0"/>
          <w:sz w:val="24"/>
        </w:rPr>
        <w:t xml:space="preserve"> </w:t>
      </w:r>
    </w:p>
    <w:p w14:paraId="7C7FAA3D">
      <w:pPr>
        <w:spacing w:line="360" w:lineRule="auto"/>
        <w:ind w:firstLine="480" w:firstLineChars="200"/>
        <w:rPr>
          <w:rFonts w:hint="eastAsia" w:ascii="宋体" w:hAnsi="宋体" w:cs="宋体"/>
          <w:b w:val="0"/>
          <w:bCs w:val="0"/>
          <w:sz w:val="24"/>
        </w:rPr>
      </w:pPr>
    </w:p>
    <w:p w14:paraId="33F9DC8A">
      <w:pPr>
        <w:widowControl/>
        <w:numPr>
          <w:ilvl w:val="0"/>
          <w:numId w:val="0"/>
        </w:numPr>
        <w:spacing w:line="360" w:lineRule="auto"/>
        <w:rPr>
          <w:rFonts w:hint="eastAsia" w:ascii="宋体" w:hAnsi="宋体" w:cs="宋体"/>
          <w:b/>
          <w:bCs/>
          <w:sz w:val="24"/>
        </w:rPr>
      </w:pPr>
      <w:r>
        <w:rPr>
          <w:rFonts w:hint="eastAsia" w:ascii="宋体" w:hAnsi="宋体" w:eastAsia="宋体" w:cs="宋体"/>
          <w:b/>
          <w:bCs/>
          <w:kern w:val="2"/>
          <w:sz w:val="24"/>
          <w:szCs w:val="24"/>
          <w:lang w:val="en-US" w:eastAsia="zh-CN" w:bidi="ar-SA"/>
        </w:rPr>
        <w:t>（二）</w:t>
      </w:r>
      <w:r>
        <w:rPr>
          <w:rFonts w:hint="eastAsia" w:ascii="宋体" w:hAnsi="宋体" w:cs="宋体"/>
          <w:b w:val="0"/>
          <w:bCs w:val="0"/>
          <w:sz w:val="24"/>
        </w:rPr>
        <w:t>根据《北京市财政局 北京市生态环境局关于政府采购推广使用低挥发性有机化合物（VOCs）有关事项的通知》（京财采购〔2020〕2381 号）文件的规定，政府采购货物、工程和服务项目中涉及涂料、胶黏剂、油墨、清洗剂等挥发性有机物产品的，属于推荐性标准的，应在招标文件中载明优惠幅度，以及评审标准和方法等，以体现优先采购。本项采购中，低挥发性有机化合物含量涂料产品技术要求（GB/T38597-2020）属于国家推荐性标准，投标人可承诺在生产过程中使用的相关材料符合本市和国家相关政策。</w:t>
      </w:r>
      <w:r>
        <w:rPr>
          <w:rFonts w:hint="eastAsia" w:ascii="宋体" w:hAnsi="宋体" w:cs="宋体"/>
          <w:b/>
          <w:bCs/>
          <w:sz w:val="24"/>
        </w:rPr>
        <w:t>本项承诺为非实质响应条款，投标人根据实际情况自愿提供。</w:t>
      </w:r>
    </w:p>
    <w:p w14:paraId="2A0F7F04">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2F220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99"/>
    <w:pPr>
      <w:jc w:val="left"/>
    </w:pPr>
  </w:style>
  <w:style w:type="table" w:styleId="4">
    <w:name w:val="Table Grid"/>
    <w:basedOn w:val="3"/>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6">
    <w:name w:val="0"/>
    <w:basedOn w:val="1"/>
    <w:qFormat/>
    <w:uiPriority w:val="0"/>
    <w:pPr>
      <w:widowControl/>
      <w:snapToGrid w:val="0"/>
      <w:spacing w:before="156" w:after="156" w:line="360" w:lineRule="auto"/>
    </w:pPr>
    <w:rPr>
      <w:kern w:val="0"/>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2026-09-08T08:10:45Z</dcterms:created>
  <dc:creator>李政豪</dc:creator>
  <cp:lastModifiedBy>10674</cp:lastModifiedBy>
  <dcterms:modified xsi:type="dcterms:W3CDTF">2026-09-08T08:10:55Z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KSOTemplateDocerSaveRecord">
    <vt:lpwstr>eyJoZGlkIjoiZjg5ZjRhOGFhMDBkMWE0ODdhMmI3M2YwMGZkNTkwNDMiLCJ1c2VySWQiOiI2Njg3MjQ3MTEifQ==</vt:lpwstr>
  </property>
  <property fmtid="{D5CDD505-2E9C-101B-9397-08002B2CF9AE}" pid="4" name="ICV">
    <vt:lpwstr>EAB31034A18E4A92A4810AF54258D1AD_12</vt:lpwstr>
  </property>
</Properties>
</file>